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35E1" w14:textId="4C8000EE" w:rsidR="00841BCD" w:rsidRPr="008F786B" w:rsidRDefault="00841BCD" w:rsidP="765EC8E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highlight w:val="yellow"/>
          <w:lang w:eastAsia="zh-CN"/>
        </w:rPr>
      </w:pPr>
      <w:bookmarkStart w:id="0" w:name="OLE_LINK5"/>
      <w:bookmarkStart w:id="1" w:name="OLE_LINK6"/>
      <w:r w:rsidRPr="765EC8EA">
        <w:rPr>
          <w:rFonts w:ascii="Arial" w:eastAsia="SimSun" w:hAnsi="Arial" w:cs="Times New Roman"/>
          <w:b/>
          <w:bCs/>
          <w:sz w:val="24"/>
          <w:szCs w:val="24"/>
        </w:rPr>
        <w:t>3GPP T</w:t>
      </w:r>
      <w:bookmarkStart w:id="2" w:name="_Ref452454252"/>
      <w:bookmarkEnd w:id="2"/>
      <w:r w:rsidRPr="765EC8EA">
        <w:rPr>
          <w:rFonts w:ascii="Arial" w:eastAsia="SimSun" w:hAnsi="Arial" w:cs="Times New Roman"/>
          <w:b/>
          <w:bCs/>
          <w:sz w:val="24"/>
          <w:szCs w:val="24"/>
        </w:rPr>
        <w:t xml:space="preserve">SG-RAN </w:t>
      </w:r>
      <w:r w:rsidR="00ED7600" w:rsidRPr="765EC8EA">
        <w:rPr>
          <w:rFonts w:ascii="Arial" w:eastAsia="SimSun" w:hAnsi="Arial" w:cs="Times New Roman"/>
          <w:b/>
          <w:bCs/>
          <w:sz w:val="24"/>
          <w:szCs w:val="24"/>
        </w:rPr>
        <w:t>WG4 Meeting #</w:t>
      </w:r>
      <w:r w:rsidR="00DE7064" w:rsidRPr="765EC8EA">
        <w:rPr>
          <w:rFonts w:ascii="Arial" w:eastAsia="SimSun" w:hAnsi="Arial" w:cs="Times New Roman"/>
          <w:b/>
          <w:bCs/>
          <w:sz w:val="24"/>
          <w:szCs w:val="24"/>
        </w:rPr>
        <w:t>1</w:t>
      </w:r>
      <w:r w:rsidR="00381F95" w:rsidRPr="765EC8EA">
        <w:rPr>
          <w:rFonts w:ascii="Arial" w:eastAsia="SimSun" w:hAnsi="Arial" w:cs="Times New Roman"/>
          <w:b/>
          <w:bCs/>
          <w:sz w:val="24"/>
          <w:szCs w:val="24"/>
        </w:rPr>
        <w:t>1</w:t>
      </w:r>
      <w:r w:rsidR="00F4301E" w:rsidRPr="765EC8EA">
        <w:rPr>
          <w:rFonts w:ascii="Arial" w:eastAsia="SimSun" w:hAnsi="Arial" w:cs="Times New Roman"/>
          <w:b/>
          <w:bCs/>
          <w:sz w:val="24"/>
          <w:szCs w:val="24"/>
        </w:rPr>
        <w:t>6</w:t>
      </w:r>
      <w:r w:rsidR="00D41D2E" w:rsidRPr="765EC8EA">
        <w:rPr>
          <w:rFonts w:ascii="Arial" w:eastAsia="SimSun" w:hAnsi="Arial" w:cs="Times New Roman"/>
          <w:b/>
          <w:bCs/>
          <w:sz w:val="24"/>
          <w:szCs w:val="24"/>
        </w:rPr>
        <w:t xml:space="preserve"> bis</w:t>
      </w:r>
      <w:r>
        <w:tab/>
      </w:r>
      <w:r w:rsidR="006F6672" w:rsidRPr="006F6672">
        <w:rPr>
          <w:rFonts w:ascii="Arial" w:eastAsia="SimSun" w:hAnsi="Arial" w:cs="Times New Roman"/>
          <w:b/>
          <w:bCs/>
          <w:sz w:val="24"/>
          <w:szCs w:val="24"/>
          <w:lang w:eastAsia="zh-CN"/>
        </w:rPr>
        <w:t>R4-2514054</w:t>
      </w:r>
    </w:p>
    <w:bookmarkEnd w:id="0"/>
    <w:bookmarkEnd w:id="1"/>
    <w:p w14:paraId="6E6EC2D7" w14:textId="3F5C3799" w:rsidR="00B26A8A" w:rsidRPr="00B26A8A" w:rsidRDefault="00D41D2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rPr>
      </w:pPr>
      <w:r w:rsidRPr="00D41D2E">
        <w:rPr>
          <w:rFonts w:ascii="Arial" w:eastAsia="SimSun" w:hAnsi="Arial" w:cs="Times New Roman"/>
          <w:b/>
          <w:bCs/>
          <w:sz w:val="24"/>
          <w:szCs w:val="24"/>
        </w:rPr>
        <w:t>Prague, CZ</w:t>
      </w:r>
      <w:r w:rsidR="00F4301E">
        <w:rPr>
          <w:rFonts w:ascii="Arial" w:eastAsia="SimSun" w:hAnsi="Arial" w:cs="Times New Roman"/>
          <w:b/>
          <w:bCs/>
          <w:sz w:val="24"/>
          <w:szCs w:val="24"/>
        </w:rPr>
        <w:t xml:space="preserve">, </w:t>
      </w:r>
      <w:r>
        <w:rPr>
          <w:rFonts w:ascii="Arial" w:eastAsia="SimSun" w:hAnsi="Arial" w:cs="Times New Roman"/>
          <w:b/>
          <w:bCs/>
          <w:sz w:val="24"/>
          <w:szCs w:val="24"/>
        </w:rPr>
        <w:t>October</w:t>
      </w:r>
      <w:r w:rsidR="00F4301E">
        <w:rPr>
          <w:rFonts w:ascii="Arial" w:eastAsia="SimSun" w:hAnsi="Arial" w:cs="Times New Roman"/>
          <w:b/>
          <w:bCs/>
          <w:sz w:val="24"/>
          <w:szCs w:val="24"/>
        </w:rPr>
        <w:t xml:space="preserve"> </w:t>
      </w:r>
      <w:r w:rsidR="008F4D86">
        <w:rPr>
          <w:rFonts w:ascii="Arial" w:eastAsia="SimSun" w:hAnsi="Arial" w:cs="Times New Roman"/>
          <w:b/>
          <w:bCs/>
          <w:sz w:val="24"/>
          <w:szCs w:val="24"/>
        </w:rPr>
        <w:t>13</w:t>
      </w:r>
      <w:r w:rsidR="00F4301E">
        <w:rPr>
          <w:rFonts w:ascii="Arial" w:eastAsia="SimSun" w:hAnsi="Arial" w:cs="Times New Roman"/>
          <w:b/>
          <w:bCs/>
          <w:sz w:val="24"/>
          <w:szCs w:val="24"/>
        </w:rPr>
        <w:t>th</w:t>
      </w:r>
      <w:r w:rsidR="00B26A8A" w:rsidRPr="2063DEA5">
        <w:rPr>
          <w:rFonts w:ascii="Arial" w:eastAsia="SimSun" w:hAnsi="Arial" w:cs="Times New Roman"/>
          <w:b/>
          <w:bCs/>
          <w:sz w:val="24"/>
          <w:szCs w:val="24"/>
        </w:rPr>
        <w:t xml:space="preserve"> –</w:t>
      </w:r>
      <w:r w:rsidR="008668DA" w:rsidRPr="2063DEA5">
        <w:rPr>
          <w:rFonts w:ascii="Arial" w:eastAsia="SimSun" w:hAnsi="Arial" w:cs="Times New Roman"/>
          <w:b/>
          <w:bCs/>
          <w:sz w:val="24"/>
          <w:szCs w:val="24"/>
        </w:rPr>
        <w:t xml:space="preserve"> </w:t>
      </w:r>
      <w:r>
        <w:rPr>
          <w:rFonts w:ascii="Arial" w:eastAsia="SimSun" w:hAnsi="Arial" w:cs="Times New Roman"/>
          <w:b/>
          <w:bCs/>
          <w:sz w:val="24"/>
          <w:szCs w:val="24"/>
        </w:rPr>
        <w:t>October</w:t>
      </w:r>
      <w:r w:rsidR="00F4301E">
        <w:rPr>
          <w:rFonts w:ascii="Arial" w:eastAsia="SimSun" w:hAnsi="Arial" w:cs="Times New Roman"/>
          <w:b/>
          <w:bCs/>
          <w:sz w:val="24"/>
          <w:szCs w:val="24"/>
        </w:rPr>
        <w:t xml:space="preserve"> </w:t>
      </w:r>
      <w:r w:rsidR="0031266C">
        <w:rPr>
          <w:rFonts w:ascii="Arial" w:eastAsia="SimSun" w:hAnsi="Arial" w:cs="Times New Roman"/>
          <w:b/>
          <w:bCs/>
          <w:sz w:val="24"/>
          <w:szCs w:val="24"/>
        </w:rPr>
        <w:t>17</w:t>
      </w:r>
      <w:r w:rsidR="00F4301E">
        <w:rPr>
          <w:rFonts w:ascii="Arial" w:eastAsia="SimSun" w:hAnsi="Arial" w:cs="Times New Roman"/>
          <w:b/>
          <w:bCs/>
          <w:sz w:val="24"/>
          <w:szCs w:val="24"/>
        </w:rPr>
        <w:t>th</w:t>
      </w:r>
      <w:r w:rsidR="00B26A8A" w:rsidRPr="2063DEA5">
        <w:rPr>
          <w:rFonts w:ascii="Arial" w:eastAsia="SimSun" w:hAnsi="Arial" w:cs="Times New Roman"/>
          <w:b/>
          <w:bCs/>
          <w:sz w:val="24"/>
          <w:szCs w:val="24"/>
        </w:rPr>
        <w:t>, 2025</w:t>
      </w:r>
    </w:p>
    <w:p w14:paraId="2A35A49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F84A0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8FC807" w14:textId="1F18CAD8" w:rsidR="00A4050B" w:rsidRDefault="00841BCD" w:rsidP="00A4050B">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66134" w:rsidRPr="00966134">
        <w:rPr>
          <w:rFonts w:ascii="Arial" w:eastAsia="Calibri" w:hAnsi="Arial" w:cs="Arial"/>
          <w:b/>
          <w:bCs/>
          <w:sz w:val="24"/>
        </w:rPr>
        <w:t>Discussion on UEIBM testing</w:t>
      </w:r>
    </w:p>
    <w:p w14:paraId="6C171A09" w14:textId="36BAC406" w:rsidR="00841BCD" w:rsidRPr="00B80C4D" w:rsidRDefault="00841BCD" w:rsidP="00A4050B">
      <w:pPr>
        <w:ind w:left="1985" w:hanging="1985"/>
        <w:rPr>
          <w:rFonts w:ascii="Arial" w:eastAsia="MS Mincho" w:hAnsi="Arial" w:cs="Arial"/>
          <w:b/>
          <w:bCs/>
          <w:sz w:val="24"/>
          <w:szCs w:val="24"/>
          <w:lang w:val="en-US"/>
        </w:rPr>
      </w:pPr>
      <w:r w:rsidRPr="2063DEA5">
        <w:rPr>
          <w:rFonts w:ascii="Arial" w:eastAsia="MS Mincho" w:hAnsi="Arial" w:cs="Arial"/>
          <w:b/>
          <w:bCs/>
          <w:sz w:val="24"/>
          <w:szCs w:val="24"/>
        </w:rPr>
        <w:t>Agenda item:</w:t>
      </w:r>
      <w:r>
        <w:tab/>
      </w:r>
      <w:r w:rsidR="00B10113" w:rsidRPr="00A4050B">
        <w:rPr>
          <w:rFonts w:ascii="Arial" w:eastAsia="Calibri" w:hAnsi="Arial" w:cs="Arial"/>
          <w:b/>
          <w:bCs/>
          <w:sz w:val="24"/>
        </w:rPr>
        <w:t>6.1</w:t>
      </w:r>
      <w:r w:rsidR="00CF6EEF">
        <w:rPr>
          <w:rFonts w:ascii="Arial" w:eastAsia="Calibri" w:hAnsi="Arial" w:cs="Arial"/>
          <w:b/>
          <w:bCs/>
          <w:sz w:val="24"/>
        </w:rPr>
        <w:t>2</w:t>
      </w:r>
      <w:r w:rsidR="00B10113" w:rsidRPr="00A4050B">
        <w:rPr>
          <w:rFonts w:ascii="Arial" w:eastAsia="Calibri" w:hAnsi="Arial" w:cs="Arial"/>
          <w:b/>
          <w:bCs/>
          <w:sz w:val="24"/>
        </w:rPr>
        <w:t>.</w:t>
      </w:r>
      <w:r w:rsidR="00A4050B" w:rsidRPr="00A4050B">
        <w:rPr>
          <w:rFonts w:ascii="Arial" w:eastAsia="Calibri" w:hAnsi="Arial" w:cs="Arial"/>
          <w:b/>
          <w:bCs/>
          <w:sz w:val="24"/>
        </w:rPr>
        <w:t>2.1</w:t>
      </w:r>
    </w:p>
    <w:p w14:paraId="4D4EB5AB"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F9C3843" w14:textId="77777777" w:rsidR="00E323E9" w:rsidRPr="008F786B" w:rsidRDefault="00E323E9" w:rsidP="00841BCD">
      <w:pPr>
        <w:tabs>
          <w:tab w:val="left" w:pos="1985"/>
        </w:tabs>
        <w:rPr>
          <w:rFonts w:ascii="Arial" w:eastAsia="Calibri" w:hAnsi="Arial" w:cs="Arial"/>
          <w:b/>
          <w:bCs/>
          <w:sz w:val="24"/>
        </w:rPr>
      </w:pPr>
    </w:p>
    <w:p w14:paraId="072745B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2ED5FEB2" w14:textId="1D978242" w:rsidR="002C10AB" w:rsidRPr="002C10AB" w:rsidRDefault="002C10AB" w:rsidP="002C10AB">
      <w:pPr>
        <w:ind w:left="360"/>
      </w:pPr>
      <w:r w:rsidRPr="002C10AB">
        <w:t xml:space="preserve">In this </w:t>
      </w:r>
      <w:r w:rsidR="00B37EFA">
        <w:t xml:space="preserve">contribution we discuss the necessary test cases for the </w:t>
      </w:r>
      <w:r w:rsidR="00E75BBD">
        <w:t xml:space="preserve">objectives of the </w:t>
      </w:r>
      <w:r w:rsidR="00A4050B">
        <w:t>UEIBM</w:t>
      </w:r>
      <w:r w:rsidR="00B37EFA">
        <w:t>.</w:t>
      </w:r>
      <w:r w:rsidRPr="002C10AB">
        <w:t xml:space="preserve"> </w:t>
      </w:r>
    </w:p>
    <w:p w14:paraId="5511CD68" w14:textId="3E0BB3BF" w:rsidR="00926EB6" w:rsidRDefault="007C31B9" w:rsidP="009F4637">
      <w:pPr>
        <w:pStyle w:val="RAN4H1"/>
        <w:rPr>
          <w:lang w:val="en-US"/>
        </w:rPr>
      </w:pPr>
      <w:r w:rsidRPr="007C31B9">
        <w:rPr>
          <w:lang w:val="en-US"/>
        </w:rPr>
        <w:t>UE-initiated beam management</w:t>
      </w:r>
    </w:p>
    <w:p w14:paraId="699D9D48" w14:textId="625CB476" w:rsidR="00DD53EF" w:rsidRPr="00DD53EF" w:rsidRDefault="00AE7B1E" w:rsidP="00AE7B1E">
      <w:pPr>
        <w:ind w:left="360"/>
        <w:rPr>
          <w:lang w:val="en-US"/>
        </w:rPr>
      </w:pPr>
      <w:r>
        <w:rPr>
          <w:lang w:val="en-US"/>
        </w:rPr>
        <w:t xml:space="preserve">With reference to the performance requirements, companies have </w:t>
      </w:r>
      <w:r w:rsidR="00D122FE">
        <w:t xml:space="preserve">differing views on which test cases need to be defined. </w:t>
      </w:r>
    </w:p>
    <w:p w14:paraId="7F221166" w14:textId="77777777" w:rsidR="003A7B1B" w:rsidRPr="003A7B1B" w:rsidRDefault="003A7B1B" w:rsidP="00A660B3">
      <w:pPr>
        <w:ind w:left="360"/>
      </w:pPr>
      <w:r w:rsidRPr="003A7B1B">
        <w:rPr>
          <w:b/>
          <w:bCs/>
          <w:u w:val="single"/>
        </w:rPr>
        <w:t>Issue 2-1-2: Test scope</w:t>
      </w:r>
    </w:p>
    <w:p w14:paraId="59027462" w14:textId="77777777" w:rsidR="003A7B1B" w:rsidRPr="003A7B1B" w:rsidRDefault="003A7B1B" w:rsidP="00A660B3">
      <w:pPr>
        <w:ind w:left="360"/>
      </w:pPr>
      <w:r w:rsidRPr="003A7B1B">
        <w:rPr>
          <w:b/>
          <w:bCs/>
        </w:rPr>
        <w:t>&lt;Way forward &gt;</w:t>
      </w:r>
    </w:p>
    <w:p w14:paraId="57259C91" w14:textId="4973D4FA" w:rsidR="00995D89" w:rsidRPr="00995D89" w:rsidRDefault="003A7B1B" w:rsidP="00A660B3">
      <w:pPr>
        <w:numPr>
          <w:ilvl w:val="0"/>
          <w:numId w:val="16"/>
        </w:numPr>
        <w:tabs>
          <w:tab w:val="clear" w:pos="720"/>
          <w:tab w:val="num" w:pos="1080"/>
        </w:tabs>
        <w:ind w:left="1080"/>
      </w:pPr>
      <w:r w:rsidRPr="003A7B1B">
        <w:t>Further discuss based on the table below:</w:t>
      </w:r>
    </w:p>
    <w:tbl>
      <w:tblPr>
        <w:tblStyle w:val="TableGrid"/>
        <w:tblW w:w="9889" w:type="dxa"/>
        <w:jc w:val="center"/>
        <w:tblLook w:val="04A0" w:firstRow="1" w:lastRow="0" w:firstColumn="1" w:lastColumn="0" w:noHBand="0" w:noVBand="1"/>
      </w:tblPr>
      <w:tblGrid>
        <w:gridCol w:w="1729"/>
        <w:gridCol w:w="901"/>
        <w:gridCol w:w="777"/>
        <w:gridCol w:w="794"/>
        <w:gridCol w:w="592"/>
        <w:gridCol w:w="679"/>
        <w:gridCol w:w="578"/>
        <w:gridCol w:w="1544"/>
        <w:gridCol w:w="1544"/>
        <w:gridCol w:w="751"/>
      </w:tblGrid>
      <w:tr w:rsidR="00995D89" w14:paraId="6088929C" w14:textId="77777777" w:rsidTr="00995D89">
        <w:trPr>
          <w:trHeight w:val="157"/>
          <w:jc w:val="center"/>
        </w:trPr>
        <w:tc>
          <w:tcPr>
            <w:tcW w:w="0" w:type="auto"/>
            <w:tcBorders>
              <w:top w:val="single" w:sz="4" w:space="0" w:color="auto"/>
              <w:left w:val="single" w:sz="4" w:space="0" w:color="auto"/>
              <w:bottom w:val="single" w:sz="4" w:space="0" w:color="auto"/>
              <w:right w:val="single" w:sz="4" w:space="0" w:color="auto"/>
            </w:tcBorders>
          </w:tcPr>
          <w:p w14:paraId="58F45CE9"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9D489D" w14:textId="77777777" w:rsidR="00995D89" w:rsidRDefault="00995D89">
            <w:pPr>
              <w:textAlignment w:val="baseline"/>
              <w:rPr>
                <w:rFonts w:eastAsiaTheme="minorEastAsia"/>
                <w:sz w:val="13"/>
                <w:szCs w:val="13"/>
                <w:lang w:eastAsia="zh-CN"/>
              </w:rPr>
            </w:pPr>
            <w:r>
              <w:rPr>
                <w:rFonts w:eastAsiaTheme="minorEastAsia"/>
                <w:sz w:val="13"/>
                <w:szCs w:val="13"/>
                <w:lang w:eastAsia="zh-CN"/>
              </w:rPr>
              <w:t>QC</w:t>
            </w:r>
          </w:p>
        </w:tc>
        <w:tc>
          <w:tcPr>
            <w:tcW w:w="0" w:type="auto"/>
            <w:tcBorders>
              <w:top w:val="single" w:sz="4" w:space="0" w:color="auto"/>
              <w:left w:val="single" w:sz="4" w:space="0" w:color="auto"/>
              <w:bottom w:val="single" w:sz="4" w:space="0" w:color="auto"/>
              <w:right w:val="single" w:sz="4" w:space="0" w:color="auto"/>
            </w:tcBorders>
            <w:hideMark/>
          </w:tcPr>
          <w:p w14:paraId="79F76D1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Apple</w:t>
            </w:r>
          </w:p>
        </w:tc>
        <w:tc>
          <w:tcPr>
            <w:tcW w:w="0" w:type="auto"/>
            <w:tcBorders>
              <w:top w:val="single" w:sz="4" w:space="0" w:color="auto"/>
              <w:left w:val="single" w:sz="4" w:space="0" w:color="auto"/>
              <w:bottom w:val="single" w:sz="4" w:space="0" w:color="auto"/>
              <w:right w:val="single" w:sz="4" w:space="0" w:color="auto"/>
            </w:tcBorders>
            <w:hideMark/>
          </w:tcPr>
          <w:p w14:paraId="24205B0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Samsung</w:t>
            </w:r>
          </w:p>
        </w:tc>
        <w:tc>
          <w:tcPr>
            <w:tcW w:w="0" w:type="auto"/>
            <w:tcBorders>
              <w:top w:val="single" w:sz="4" w:space="0" w:color="auto"/>
              <w:left w:val="single" w:sz="4" w:space="0" w:color="auto"/>
              <w:bottom w:val="single" w:sz="4" w:space="0" w:color="auto"/>
              <w:right w:val="single" w:sz="4" w:space="0" w:color="auto"/>
            </w:tcBorders>
            <w:hideMark/>
          </w:tcPr>
          <w:p w14:paraId="0850EF64" w14:textId="77777777" w:rsidR="00995D89" w:rsidRDefault="00995D89">
            <w:pPr>
              <w:textAlignment w:val="baseline"/>
              <w:rPr>
                <w:rFonts w:eastAsiaTheme="minorEastAsia"/>
                <w:sz w:val="13"/>
                <w:szCs w:val="13"/>
                <w:lang w:eastAsia="zh-CN"/>
              </w:rPr>
            </w:pPr>
            <w:r>
              <w:rPr>
                <w:rFonts w:eastAsiaTheme="minorEastAsia"/>
                <w:sz w:val="13"/>
                <w:szCs w:val="13"/>
                <w:lang w:eastAsia="zh-CN"/>
              </w:rPr>
              <w:t>CMCC</w:t>
            </w:r>
          </w:p>
        </w:tc>
        <w:tc>
          <w:tcPr>
            <w:tcW w:w="0" w:type="auto"/>
            <w:tcBorders>
              <w:top w:val="single" w:sz="4" w:space="0" w:color="auto"/>
              <w:left w:val="single" w:sz="4" w:space="0" w:color="auto"/>
              <w:bottom w:val="single" w:sz="4" w:space="0" w:color="auto"/>
              <w:right w:val="single" w:sz="4" w:space="0" w:color="auto"/>
            </w:tcBorders>
            <w:hideMark/>
          </w:tcPr>
          <w:p w14:paraId="23FC8C9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Huawei</w:t>
            </w:r>
          </w:p>
        </w:tc>
        <w:tc>
          <w:tcPr>
            <w:tcW w:w="0" w:type="auto"/>
            <w:tcBorders>
              <w:top w:val="single" w:sz="4" w:space="0" w:color="auto"/>
              <w:left w:val="single" w:sz="4" w:space="0" w:color="auto"/>
              <w:bottom w:val="single" w:sz="4" w:space="0" w:color="auto"/>
              <w:right w:val="single" w:sz="4" w:space="0" w:color="auto"/>
            </w:tcBorders>
            <w:hideMark/>
          </w:tcPr>
          <w:p w14:paraId="2AAB7991" w14:textId="77777777" w:rsidR="00995D89" w:rsidRDefault="00995D89">
            <w:pPr>
              <w:textAlignment w:val="baseline"/>
              <w:rPr>
                <w:rFonts w:eastAsiaTheme="minorEastAsia"/>
                <w:sz w:val="13"/>
                <w:szCs w:val="13"/>
                <w:lang w:eastAsia="zh-CN"/>
              </w:rPr>
            </w:pPr>
            <w:r>
              <w:rPr>
                <w:rFonts w:eastAsiaTheme="minorEastAsia"/>
                <w:sz w:val="13"/>
                <w:szCs w:val="13"/>
                <w:lang w:eastAsia="zh-CN"/>
              </w:rPr>
              <w:t>ZTE</w:t>
            </w:r>
          </w:p>
        </w:tc>
        <w:tc>
          <w:tcPr>
            <w:tcW w:w="0" w:type="auto"/>
            <w:tcBorders>
              <w:top w:val="single" w:sz="4" w:space="0" w:color="auto"/>
              <w:left w:val="single" w:sz="4" w:space="0" w:color="auto"/>
              <w:bottom w:val="single" w:sz="4" w:space="0" w:color="auto"/>
              <w:right w:val="single" w:sz="4" w:space="0" w:color="auto"/>
            </w:tcBorders>
            <w:hideMark/>
          </w:tcPr>
          <w:p w14:paraId="0F63864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Nokia</w:t>
            </w:r>
          </w:p>
        </w:tc>
        <w:tc>
          <w:tcPr>
            <w:tcW w:w="0" w:type="auto"/>
            <w:tcBorders>
              <w:top w:val="single" w:sz="4" w:space="0" w:color="auto"/>
              <w:left w:val="single" w:sz="4" w:space="0" w:color="auto"/>
              <w:bottom w:val="single" w:sz="4" w:space="0" w:color="auto"/>
              <w:right w:val="single" w:sz="4" w:space="0" w:color="auto"/>
            </w:tcBorders>
            <w:hideMark/>
          </w:tcPr>
          <w:p w14:paraId="7823C42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Ericsson</w:t>
            </w:r>
          </w:p>
        </w:tc>
        <w:tc>
          <w:tcPr>
            <w:tcW w:w="0" w:type="auto"/>
            <w:tcBorders>
              <w:top w:val="single" w:sz="4" w:space="0" w:color="auto"/>
              <w:left w:val="single" w:sz="4" w:space="0" w:color="auto"/>
              <w:bottom w:val="single" w:sz="4" w:space="0" w:color="auto"/>
              <w:right w:val="single" w:sz="4" w:space="0" w:color="auto"/>
            </w:tcBorders>
            <w:hideMark/>
          </w:tcPr>
          <w:p w14:paraId="0F2A3038" w14:textId="77777777" w:rsidR="00995D89" w:rsidRDefault="00995D89">
            <w:pPr>
              <w:textAlignment w:val="baseline"/>
              <w:rPr>
                <w:rFonts w:eastAsiaTheme="minorEastAsia"/>
                <w:sz w:val="13"/>
                <w:szCs w:val="13"/>
                <w:lang w:eastAsia="zh-CN"/>
              </w:rPr>
            </w:pPr>
            <w:r>
              <w:rPr>
                <w:rFonts w:eastAsiaTheme="minorEastAsia"/>
                <w:sz w:val="13"/>
                <w:szCs w:val="13"/>
                <w:lang w:eastAsia="zh-CN"/>
              </w:rPr>
              <w:t>MediaTek</w:t>
            </w:r>
          </w:p>
        </w:tc>
      </w:tr>
      <w:tr w:rsidR="00995D89" w14:paraId="7DD36E21" w14:textId="77777777" w:rsidTr="00995D89">
        <w:trPr>
          <w:trHeight w:val="327"/>
          <w:jc w:val="center"/>
        </w:trPr>
        <w:tc>
          <w:tcPr>
            <w:tcW w:w="0" w:type="auto"/>
            <w:tcBorders>
              <w:top w:val="single" w:sz="4" w:space="0" w:color="auto"/>
              <w:left w:val="single" w:sz="4" w:space="0" w:color="auto"/>
              <w:bottom w:val="single" w:sz="4" w:space="0" w:color="auto"/>
              <w:right w:val="single" w:sz="4" w:space="0" w:color="auto"/>
            </w:tcBorders>
            <w:hideMark/>
          </w:tcPr>
          <w:p w14:paraId="726D4256" w14:textId="77777777" w:rsidR="00995D89" w:rsidRDefault="00995D89">
            <w:pPr>
              <w:textAlignment w:val="baseline"/>
              <w:rPr>
                <w:rFonts w:eastAsiaTheme="minorEastAsia"/>
                <w:sz w:val="13"/>
                <w:szCs w:val="13"/>
                <w:lang w:eastAsia="zh-CN"/>
              </w:rPr>
            </w:pPr>
            <w:r>
              <w:rPr>
                <w:rFonts w:eastAsiaTheme="minorEastAsia"/>
                <w:sz w:val="13"/>
                <w:szCs w:val="13"/>
                <w:lang w:eastAsia="zh-CN"/>
              </w:rPr>
              <w:t xml:space="preserve">High level: Define TCs to verify UEIBM </w:t>
            </w:r>
          </w:p>
        </w:tc>
        <w:tc>
          <w:tcPr>
            <w:tcW w:w="0" w:type="auto"/>
            <w:tcBorders>
              <w:top w:val="single" w:sz="4" w:space="0" w:color="auto"/>
              <w:left w:val="single" w:sz="4" w:space="0" w:color="auto"/>
              <w:bottom w:val="single" w:sz="4" w:space="0" w:color="auto"/>
              <w:right w:val="single" w:sz="4" w:space="0" w:color="auto"/>
            </w:tcBorders>
            <w:hideMark/>
          </w:tcPr>
          <w:p w14:paraId="6496CB0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07F70FF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2C2CB42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4A07F6D6"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2E95523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317F3BEE"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792AE549"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7DAB1AD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283113D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r>
      <w:tr w:rsidR="00995D89" w14:paraId="061C402F" w14:textId="77777777" w:rsidTr="00995D89">
        <w:trPr>
          <w:trHeight w:val="1311"/>
          <w:jc w:val="center"/>
        </w:trPr>
        <w:tc>
          <w:tcPr>
            <w:tcW w:w="0" w:type="auto"/>
            <w:tcBorders>
              <w:top w:val="single" w:sz="4" w:space="0" w:color="auto"/>
              <w:left w:val="single" w:sz="4" w:space="0" w:color="auto"/>
              <w:bottom w:val="single" w:sz="4" w:space="0" w:color="auto"/>
              <w:right w:val="single" w:sz="4" w:space="0" w:color="auto"/>
            </w:tcBorders>
            <w:hideMark/>
          </w:tcPr>
          <w:p w14:paraId="3334E352" w14:textId="77777777" w:rsidR="00995D89" w:rsidRDefault="00995D89">
            <w:pPr>
              <w:textAlignment w:val="baseline"/>
              <w:rPr>
                <w:rFonts w:eastAsiaTheme="minorEastAsia"/>
                <w:sz w:val="13"/>
                <w:szCs w:val="13"/>
                <w:lang w:eastAsia="zh-CN"/>
              </w:rPr>
            </w:pPr>
            <w:r>
              <w:rPr>
                <w:rFonts w:eastAsiaTheme="minorEastAsia"/>
                <w:sz w:val="13"/>
                <w:szCs w:val="13"/>
                <w:lang w:eastAsia="zh-CN"/>
              </w:rPr>
              <w:t>Whether to cover Event-2/Event-1/Event-7?</w:t>
            </w:r>
          </w:p>
        </w:tc>
        <w:tc>
          <w:tcPr>
            <w:tcW w:w="0" w:type="auto"/>
            <w:tcBorders>
              <w:top w:val="single" w:sz="4" w:space="0" w:color="auto"/>
              <w:left w:val="single" w:sz="4" w:space="0" w:color="auto"/>
              <w:bottom w:val="single" w:sz="4" w:space="0" w:color="auto"/>
              <w:right w:val="single" w:sz="4" w:space="0" w:color="auto"/>
            </w:tcBorders>
            <w:hideMark/>
          </w:tcPr>
          <w:p w14:paraId="0F019A08"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Event-2: Y</w:t>
            </w:r>
          </w:p>
          <w:p w14:paraId="4B7EE532"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Event-1/Event-7: FFS</w:t>
            </w:r>
          </w:p>
        </w:tc>
        <w:tc>
          <w:tcPr>
            <w:tcW w:w="0" w:type="auto"/>
            <w:tcBorders>
              <w:top w:val="single" w:sz="4" w:space="0" w:color="auto"/>
              <w:left w:val="single" w:sz="4" w:space="0" w:color="auto"/>
              <w:bottom w:val="single" w:sz="4" w:space="0" w:color="auto"/>
              <w:right w:val="single" w:sz="4" w:space="0" w:color="auto"/>
            </w:tcBorders>
            <w:hideMark/>
          </w:tcPr>
          <w:p w14:paraId="5E2B8328"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Event-2: Y</w:t>
            </w:r>
          </w:p>
          <w:p w14:paraId="4653871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Event-1/Event-7: No</w:t>
            </w:r>
          </w:p>
        </w:tc>
        <w:tc>
          <w:tcPr>
            <w:tcW w:w="0" w:type="auto"/>
            <w:tcBorders>
              <w:top w:val="single" w:sz="4" w:space="0" w:color="auto"/>
              <w:left w:val="single" w:sz="4" w:space="0" w:color="auto"/>
              <w:bottom w:val="single" w:sz="4" w:space="0" w:color="auto"/>
              <w:right w:val="single" w:sz="4" w:space="0" w:color="auto"/>
            </w:tcBorders>
          </w:tcPr>
          <w:p w14:paraId="0D739831"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Event-2: Y</w:t>
            </w:r>
          </w:p>
          <w:p w14:paraId="26A240CE"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Event-1: limited TC</w:t>
            </w:r>
          </w:p>
          <w:p w14:paraId="399CF0B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Event-7: No</w:t>
            </w:r>
          </w:p>
          <w:p w14:paraId="54CC243A"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96AD4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All</w:t>
            </w:r>
          </w:p>
        </w:tc>
        <w:tc>
          <w:tcPr>
            <w:tcW w:w="0" w:type="auto"/>
            <w:tcBorders>
              <w:top w:val="single" w:sz="4" w:space="0" w:color="auto"/>
              <w:left w:val="single" w:sz="4" w:space="0" w:color="auto"/>
              <w:bottom w:val="single" w:sz="4" w:space="0" w:color="auto"/>
              <w:right w:val="single" w:sz="4" w:space="0" w:color="auto"/>
            </w:tcBorders>
            <w:hideMark/>
          </w:tcPr>
          <w:p w14:paraId="4D83097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Event-2</w:t>
            </w:r>
          </w:p>
          <w:p w14:paraId="370FC1D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FFS on others</w:t>
            </w:r>
          </w:p>
        </w:tc>
        <w:tc>
          <w:tcPr>
            <w:tcW w:w="0" w:type="auto"/>
            <w:tcBorders>
              <w:top w:val="single" w:sz="4" w:space="0" w:color="auto"/>
              <w:left w:val="single" w:sz="4" w:space="0" w:color="auto"/>
              <w:bottom w:val="single" w:sz="4" w:space="0" w:color="auto"/>
              <w:right w:val="single" w:sz="4" w:space="0" w:color="auto"/>
            </w:tcBorders>
            <w:hideMark/>
          </w:tcPr>
          <w:p w14:paraId="728B8514" w14:textId="77777777" w:rsidR="00995D89" w:rsidRDefault="00995D89">
            <w:pPr>
              <w:textAlignment w:val="baseline"/>
              <w:rPr>
                <w:rFonts w:eastAsiaTheme="minorEastAsia"/>
                <w:sz w:val="13"/>
                <w:szCs w:val="13"/>
                <w:lang w:eastAsia="zh-CN"/>
              </w:rPr>
            </w:pPr>
            <w:r>
              <w:rPr>
                <w:rFonts w:eastAsiaTheme="minorEastAsia"/>
                <w:sz w:val="13"/>
                <w:szCs w:val="13"/>
                <w:lang w:eastAsia="zh-CN"/>
              </w:rPr>
              <w:t>All</w:t>
            </w:r>
          </w:p>
        </w:tc>
        <w:tc>
          <w:tcPr>
            <w:tcW w:w="0" w:type="auto"/>
            <w:tcBorders>
              <w:top w:val="single" w:sz="4" w:space="0" w:color="auto"/>
              <w:left w:val="single" w:sz="4" w:space="0" w:color="auto"/>
              <w:bottom w:val="single" w:sz="4" w:space="0" w:color="auto"/>
              <w:right w:val="single" w:sz="4" w:space="0" w:color="auto"/>
            </w:tcBorders>
            <w:hideMark/>
          </w:tcPr>
          <w:p w14:paraId="6D7D50C4"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Event-2</w:t>
            </w:r>
          </w:p>
        </w:tc>
        <w:tc>
          <w:tcPr>
            <w:tcW w:w="0" w:type="auto"/>
            <w:tcBorders>
              <w:top w:val="single" w:sz="4" w:space="0" w:color="auto"/>
              <w:left w:val="single" w:sz="4" w:space="0" w:color="auto"/>
              <w:bottom w:val="single" w:sz="4" w:space="0" w:color="auto"/>
              <w:right w:val="single" w:sz="4" w:space="0" w:color="auto"/>
            </w:tcBorders>
          </w:tcPr>
          <w:p w14:paraId="7B905CD2"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Event-2&amp;7</w:t>
            </w:r>
          </w:p>
          <w:p w14:paraId="6C45DA99"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E0189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Event-2</w:t>
            </w:r>
          </w:p>
        </w:tc>
      </w:tr>
      <w:tr w:rsidR="00995D89" w14:paraId="712F6D52" w14:textId="77777777" w:rsidTr="00995D89">
        <w:trPr>
          <w:trHeight w:val="642"/>
          <w:jc w:val="center"/>
        </w:trPr>
        <w:tc>
          <w:tcPr>
            <w:tcW w:w="0" w:type="auto"/>
            <w:tcBorders>
              <w:top w:val="single" w:sz="4" w:space="0" w:color="auto"/>
              <w:left w:val="single" w:sz="4" w:space="0" w:color="auto"/>
              <w:bottom w:val="single" w:sz="4" w:space="0" w:color="auto"/>
              <w:right w:val="single" w:sz="4" w:space="0" w:color="auto"/>
            </w:tcBorders>
            <w:hideMark/>
          </w:tcPr>
          <w:p w14:paraId="04D71110" w14:textId="77777777" w:rsidR="00995D89" w:rsidRDefault="00995D89">
            <w:pPr>
              <w:textAlignment w:val="baseline"/>
              <w:rPr>
                <w:rFonts w:eastAsiaTheme="minorEastAsia"/>
                <w:sz w:val="13"/>
                <w:szCs w:val="13"/>
                <w:lang w:eastAsia="zh-CN"/>
              </w:rPr>
            </w:pPr>
            <w:r>
              <w:rPr>
                <w:rFonts w:eastAsiaTheme="minorEastAsia"/>
                <w:sz w:val="13"/>
                <w:szCs w:val="13"/>
                <w:lang w:eastAsia="zh-CN"/>
              </w:rPr>
              <w:t>Whether to cover Mode A and Mode B?</w:t>
            </w:r>
          </w:p>
        </w:tc>
        <w:tc>
          <w:tcPr>
            <w:tcW w:w="0" w:type="auto"/>
            <w:tcBorders>
              <w:top w:val="single" w:sz="4" w:space="0" w:color="auto"/>
              <w:left w:val="single" w:sz="4" w:space="0" w:color="auto"/>
              <w:bottom w:val="single" w:sz="4" w:space="0" w:color="auto"/>
              <w:right w:val="single" w:sz="4" w:space="0" w:color="auto"/>
            </w:tcBorders>
          </w:tcPr>
          <w:p w14:paraId="49B638F3"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3AD92"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Either A or B</w:t>
            </w:r>
          </w:p>
        </w:tc>
        <w:tc>
          <w:tcPr>
            <w:tcW w:w="0" w:type="auto"/>
            <w:tcBorders>
              <w:top w:val="single" w:sz="4" w:space="0" w:color="auto"/>
              <w:left w:val="single" w:sz="4" w:space="0" w:color="auto"/>
              <w:bottom w:val="single" w:sz="4" w:space="0" w:color="auto"/>
              <w:right w:val="single" w:sz="4" w:space="0" w:color="auto"/>
            </w:tcBorders>
            <w:hideMark/>
          </w:tcPr>
          <w:p w14:paraId="7E16BE6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 xml:space="preserve">Both </w:t>
            </w:r>
          </w:p>
        </w:tc>
        <w:tc>
          <w:tcPr>
            <w:tcW w:w="0" w:type="auto"/>
            <w:tcBorders>
              <w:top w:val="single" w:sz="4" w:space="0" w:color="auto"/>
              <w:left w:val="single" w:sz="4" w:space="0" w:color="auto"/>
              <w:bottom w:val="single" w:sz="4" w:space="0" w:color="auto"/>
              <w:right w:val="single" w:sz="4" w:space="0" w:color="auto"/>
            </w:tcBorders>
            <w:hideMark/>
          </w:tcPr>
          <w:p w14:paraId="4994A70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Both</w:t>
            </w:r>
          </w:p>
        </w:tc>
        <w:tc>
          <w:tcPr>
            <w:tcW w:w="0" w:type="auto"/>
            <w:tcBorders>
              <w:top w:val="single" w:sz="4" w:space="0" w:color="auto"/>
              <w:left w:val="single" w:sz="4" w:space="0" w:color="auto"/>
              <w:bottom w:val="single" w:sz="4" w:space="0" w:color="auto"/>
              <w:right w:val="single" w:sz="4" w:space="0" w:color="auto"/>
            </w:tcBorders>
          </w:tcPr>
          <w:p w14:paraId="66D89760"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3423EE" w14:textId="77777777" w:rsidR="00995D89" w:rsidRDefault="00995D89">
            <w:pPr>
              <w:textAlignment w:val="baseline"/>
              <w:rPr>
                <w:rFonts w:eastAsiaTheme="minorEastAsia"/>
                <w:sz w:val="13"/>
                <w:szCs w:val="13"/>
                <w:lang w:eastAsia="zh-CN"/>
              </w:rPr>
            </w:pPr>
            <w:r>
              <w:rPr>
                <w:rFonts w:eastAsiaTheme="minorEastAsia"/>
                <w:sz w:val="13"/>
                <w:szCs w:val="13"/>
                <w:lang w:eastAsia="zh-CN"/>
              </w:rPr>
              <w:t>Both</w:t>
            </w:r>
          </w:p>
        </w:tc>
        <w:tc>
          <w:tcPr>
            <w:tcW w:w="0" w:type="auto"/>
            <w:tcBorders>
              <w:top w:val="single" w:sz="4" w:space="0" w:color="auto"/>
              <w:left w:val="single" w:sz="4" w:space="0" w:color="auto"/>
              <w:bottom w:val="single" w:sz="4" w:space="0" w:color="auto"/>
              <w:right w:val="single" w:sz="4" w:space="0" w:color="auto"/>
            </w:tcBorders>
            <w:hideMark/>
          </w:tcPr>
          <w:p w14:paraId="51532412" w14:textId="77777777" w:rsidR="00995D89" w:rsidRDefault="00995D89">
            <w:pPr>
              <w:textAlignment w:val="baseline"/>
              <w:rPr>
                <w:rFonts w:eastAsiaTheme="minorEastAsia"/>
                <w:sz w:val="13"/>
                <w:szCs w:val="13"/>
                <w:lang w:eastAsia="zh-CN"/>
              </w:rPr>
            </w:pPr>
            <w:r>
              <w:rPr>
                <w:rFonts w:eastAsiaTheme="minorEastAsia"/>
                <w:sz w:val="13"/>
                <w:szCs w:val="13"/>
                <w:lang w:eastAsia="zh-CN"/>
              </w:rPr>
              <w:t>Mode A&amp;B as Test configurations. Can be skip depends on UE capability</w:t>
            </w:r>
          </w:p>
        </w:tc>
        <w:tc>
          <w:tcPr>
            <w:tcW w:w="0" w:type="auto"/>
            <w:tcBorders>
              <w:top w:val="single" w:sz="4" w:space="0" w:color="auto"/>
              <w:left w:val="single" w:sz="4" w:space="0" w:color="auto"/>
              <w:bottom w:val="single" w:sz="4" w:space="0" w:color="auto"/>
              <w:right w:val="single" w:sz="4" w:space="0" w:color="auto"/>
            </w:tcBorders>
            <w:hideMark/>
          </w:tcPr>
          <w:p w14:paraId="7D9BB2B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Mode A&amp;B as Test configurations. Can be skip depends on UE capability</w:t>
            </w:r>
          </w:p>
        </w:tc>
        <w:tc>
          <w:tcPr>
            <w:tcW w:w="0" w:type="auto"/>
            <w:tcBorders>
              <w:top w:val="single" w:sz="4" w:space="0" w:color="auto"/>
              <w:left w:val="single" w:sz="4" w:space="0" w:color="auto"/>
              <w:bottom w:val="single" w:sz="4" w:space="0" w:color="auto"/>
              <w:right w:val="single" w:sz="4" w:space="0" w:color="auto"/>
            </w:tcBorders>
          </w:tcPr>
          <w:p w14:paraId="5924BB39" w14:textId="77777777" w:rsidR="00995D89" w:rsidRDefault="00995D89">
            <w:pPr>
              <w:overflowPunct w:val="0"/>
              <w:autoSpaceDE w:val="0"/>
              <w:autoSpaceDN w:val="0"/>
              <w:adjustRightInd w:val="0"/>
              <w:textAlignment w:val="baseline"/>
              <w:rPr>
                <w:rFonts w:eastAsiaTheme="minorEastAsia"/>
                <w:sz w:val="13"/>
                <w:szCs w:val="13"/>
                <w:lang w:eastAsia="zh-CN"/>
              </w:rPr>
            </w:pPr>
          </w:p>
        </w:tc>
      </w:tr>
      <w:tr w:rsidR="00995D89" w14:paraId="5A1768AD" w14:textId="77777777" w:rsidTr="00995D89">
        <w:trPr>
          <w:trHeight w:val="327"/>
          <w:jc w:val="center"/>
        </w:trPr>
        <w:tc>
          <w:tcPr>
            <w:tcW w:w="0" w:type="auto"/>
            <w:tcBorders>
              <w:top w:val="single" w:sz="4" w:space="0" w:color="auto"/>
              <w:left w:val="single" w:sz="4" w:space="0" w:color="auto"/>
              <w:bottom w:val="single" w:sz="4" w:space="0" w:color="auto"/>
              <w:right w:val="single" w:sz="4" w:space="0" w:color="auto"/>
            </w:tcBorders>
            <w:hideMark/>
          </w:tcPr>
          <w:p w14:paraId="4381C70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Event-trigger for Intra-cell BM for SSB</w:t>
            </w:r>
          </w:p>
        </w:tc>
        <w:tc>
          <w:tcPr>
            <w:tcW w:w="0" w:type="auto"/>
            <w:tcBorders>
              <w:top w:val="single" w:sz="4" w:space="0" w:color="auto"/>
              <w:left w:val="single" w:sz="4" w:space="0" w:color="auto"/>
              <w:bottom w:val="single" w:sz="4" w:space="0" w:color="auto"/>
              <w:right w:val="single" w:sz="4" w:space="0" w:color="auto"/>
            </w:tcBorders>
            <w:hideMark/>
          </w:tcPr>
          <w:p w14:paraId="64BDCC55"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6054C2D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hideMark/>
          </w:tcPr>
          <w:p w14:paraId="2EC312B6"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0CB1A5D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1633D4C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5D771F40"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3DF6BA3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3D535D6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4233D8F8"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r>
      <w:tr w:rsidR="00995D89" w14:paraId="6D3F0788" w14:textId="77777777" w:rsidTr="00995D89">
        <w:trPr>
          <w:trHeight w:val="327"/>
          <w:jc w:val="center"/>
        </w:trPr>
        <w:tc>
          <w:tcPr>
            <w:tcW w:w="0" w:type="auto"/>
            <w:tcBorders>
              <w:top w:val="single" w:sz="4" w:space="0" w:color="auto"/>
              <w:left w:val="single" w:sz="4" w:space="0" w:color="auto"/>
              <w:bottom w:val="single" w:sz="4" w:space="0" w:color="auto"/>
              <w:right w:val="single" w:sz="4" w:space="0" w:color="auto"/>
            </w:tcBorders>
            <w:hideMark/>
          </w:tcPr>
          <w:p w14:paraId="4F1792B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Event-trigger for Intra-cell BM for CSI-RS</w:t>
            </w:r>
          </w:p>
        </w:tc>
        <w:tc>
          <w:tcPr>
            <w:tcW w:w="0" w:type="auto"/>
            <w:tcBorders>
              <w:top w:val="single" w:sz="4" w:space="0" w:color="auto"/>
              <w:left w:val="single" w:sz="4" w:space="0" w:color="auto"/>
              <w:bottom w:val="single" w:sz="4" w:space="0" w:color="auto"/>
              <w:right w:val="single" w:sz="4" w:space="0" w:color="auto"/>
            </w:tcBorders>
            <w:hideMark/>
          </w:tcPr>
          <w:p w14:paraId="566500A0"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7BD5DB2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56456FF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40E60A76"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542C2AA1"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3D6C538E"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7FCE4C18"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284A28E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4011282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r>
      <w:tr w:rsidR="00995D89" w14:paraId="53771575" w14:textId="77777777" w:rsidTr="00995D89">
        <w:trPr>
          <w:trHeight w:val="314"/>
          <w:jc w:val="center"/>
        </w:trPr>
        <w:tc>
          <w:tcPr>
            <w:tcW w:w="0" w:type="auto"/>
            <w:tcBorders>
              <w:top w:val="single" w:sz="4" w:space="0" w:color="auto"/>
              <w:left w:val="single" w:sz="4" w:space="0" w:color="auto"/>
              <w:bottom w:val="single" w:sz="4" w:space="0" w:color="auto"/>
              <w:right w:val="single" w:sz="4" w:space="0" w:color="auto"/>
            </w:tcBorders>
            <w:hideMark/>
          </w:tcPr>
          <w:p w14:paraId="2610EDA9"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Event-trigger for Inter-cell BM for SSB</w:t>
            </w:r>
          </w:p>
        </w:tc>
        <w:tc>
          <w:tcPr>
            <w:tcW w:w="0" w:type="auto"/>
            <w:tcBorders>
              <w:top w:val="single" w:sz="4" w:space="0" w:color="auto"/>
              <w:left w:val="single" w:sz="4" w:space="0" w:color="auto"/>
              <w:bottom w:val="single" w:sz="4" w:space="0" w:color="auto"/>
              <w:right w:val="single" w:sz="4" w:space="0" w:color="auto"/>
            </w:tcBorders>
            <w:hideMark/>
          </w:tcPr>
          <w:p w14:paraId="727A2C9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540E29B2"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3E628760"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64F0556D"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730A117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44DA88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1247EF49"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6CB370A0" w14:textId="77777777" w:rsidR="00995D89" w:rsidRDefault="00995D89">
            <w:pPr>
              <w:textAlignment w:val="baseline"/>
              <w:rPr>
                <w:rFonts w:eastAsiaTheme="minorEastAsia"/>
                <w:sz w:val="13"/>
                <w:szCs w:val="13"/>
                <w:lang w:eastAsia="zh-CN"/>
              </w:rPr>
            </w:pPr>
            <w:r>
              <w:rPr>
                <w:rFonts w:eastAsiaTheme="minorEastAsia"/>
                <w:sz w:val="13"/>
                <w:szCs w:val="13"/>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AF4914D"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r>
      <w:tr w:rsidR="00995D89" w14:paraId="032BE32A" w14:textId="77777777" w:rsidTr="00995D89">
        <w:trPr>
          <w:trHeight w:val="327"/>
          <w:jc w:val="center"/>
        </w:trPr>
        <w:tc>
          <w:tcPr>
            <w:tcW w:w="0" w:type="auto"/>
            <w:tcBorders>
              <w:top w:val="single" w:sz="4" w:space="0" w:color="auto"/>
              <w:left w:val="single" w:sz="4" w:space="0" w:color="auto"/>
              <w:bottom w:val="single" w:sz="4" w:space="0" w:color="auto"/>
              <w:right w:val="single" w:sz="4" w:space="0" w:color="auto"/>
            </w:tcBorders>
            <w:hideMark/>
          </w:tcPr>
          <w:p w14:paraId="1A7F0538" w14:textId="77777777" w:rsidR="00995D89" w:rsidRDefault="00995D89">
            <w:pPr>
              <w:textAlignment w:val="baseline"/>
              <w:rPr>
                <w:rFonts w:eastAsiaTheme="minorEastAsia"/>
                <w:sz w:val="13"/>
                <w:szCs w:val="13"/>
                <w:lang w:eastAsia="zh-CN"/>
              </w:rPr>
            </w:pPr>
            <w:r>
              <w:rPr>
                <w:rFonts w:eastAsiaTheme="minorEastAsia"/>
                <w:sz w:val="13"/>
                <w:szCs w:val="13"/>
                <w:lang w:eastAsia="zh-CN"/>
              </w:rPr>
              <w:t>Event-trigger for Inter-cell BM for CSI-RS</w:t>
            </w:r>
          </w:p>
        </w:tc>
        <w:tc>
          <w:tcPr>
            <w:tcW w:w="0" w:type="auto"/>
            <w:tcBorders>
              <w:top w:val="single" w:sz="4" w:space="0" w:color="auto"/>
              <w:left w:val="single" w:sz="4" w:space="0" w:color="auto"/>
              <w:bottom w:val="single" w:sz="4" w:space="0" w:color="auto"/>
              <w:right w:val="single" w:sz="4" w:space="0" w:color="auto"/>
            </w:tcBorders>
            <w:hideMark/>
          </w:tcPr>
          <w:p w14:paraId="15F7F569"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hideMark/>
          </w:tcPr>
          <w:p w14:paraId="648E7C3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hideMark/>
          </w:tcPr>
          <w:p w14:paraId="4940E16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hideMark/>
          </w:tcPr>
          <w:p w14:paraId="591379C4"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tcPr>
          <w:p w14:paraId="5B333622"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B09FB3"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50EB7EB4"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tcPr>
          <w:p w14:paraId="75688FB6"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E2E88"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r>
      <w:tr w:rsidR="00995D89" w14:paraId="5D50240D" w14:textId="77777777" w:rsidTr="00995D89">
        <w:trPr>
          <w:trHeight w:val="655"/>
          <w:jc w:val="center"/>
        </w:trPr>
        <w:tc>
          <w:tcPr>
            <w:tcW w:w="0" w:type="auto"/>
            <w:tcBorders>
              <w:top w:val="single" w:sz="4" w:space="0" w:color="auto"/>
              <w:left w:val="single" w:sz="4" w:space="0" w:color="auto"/>
              <w:bottom w:val="single" w:sz="4" w:space="0" w:color="auto"/>
              <w:right w:val="single" w:sz="4" w:space="0" w:color="auto"/>
            </w:tcBorders>
            <w:hideMark/>
          </w:tcPr>
          <w:p w14:paraId="45B667D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Whether to cover no time window and eventInstanceCount-r19 &gt; 1?</w:t>
            </w:r>
          </w:p>
        </w:tc>
        <w:tc>
          <w:tcPr>
            <w:tcW w:w="0" w:type="auto"/>
            <w:tcBorders>
              <w:top w:val="single" w:sz="4" w:space="0" w:color="auto"/>
              <w:left w:val="single" w:sz="4" w:space="0" w:color="auto"/>
              <w:bottom w:val="single" w:sz="4" w:space="0" w:color="auto"/>
              <w:right w:val="single" w:sz="4" w:space="0" w:color="auto"/>
            </w:tcBorders>
            <w:hideMark/>
          </w:tcPr>
          <w:p w14:paraId="01BBB6E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hideMark/>
          </w:tcPr>
          <w:p w14:paraId="19645AB7"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hideMark/>
          </w:tcPr>
          <w:p w14:paraId="39F8EB0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1D5E815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tcPr>
          <w:p w14:paraId="4D9550E8"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4DADBE"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630F4D94"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hideMark/>
          </w:tcPr>
          <w:p w14:paraId="5D2014D5"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tcPr>
          <w:p w14:paraId="32CC2910" w14:textId="77777777" w:rsidR="00995D89" w:rsidRDefault="00995D89">
            <w:pPr>
              <w:overflowPunct w:val="0"/>
              <w:autoSpaceDE w:val="0"/>
              <w:autoSpaceDN w:val="0"/>
              <w:adjustRightInd w:val="0"/>
              <w:textAlignment w:val="baseline"/>
              <w:rPr>
                <w:rFonts w:eastAsiaTheme="minorEastAsia"/>
                <w:sz w:val="13"/>
                <w:szCs w:val="13"/>
                <w:lang w:eastAsia="zh-CN"/>
              </w:rPr>
            </w:pPr>
          </w:p>
        </w:tc>
      </w:tr>
      <w:tr w:rsidR="00995D89" w14:paraId="59E1A361" w14:textId="77777777" w:rsidTr="00995D89">
        <w:trPr>
          <w:trHeight w:val="327"/>
          <w:jc w:val="center"/>
        </w:trPr>
        <w:tc>
          <w:tcPr>
            <w:tcW w:w="0" w:type="auto"/>
            <w:tcBorders>
              <w:top w:val="single" w:sz="4" w:space="0" w:color="auto"/>
              <w:left w:val="single" w:sz="4" w:space="0" w:color="auto"/>
              <w:bottom w:val="single" w:sz="4" w:space="0" w:color="auto"/>
              <w:right w:val="single" w:sz="4" w:space="0" w:color="auto"/>
            </w:tcBorders>
            <w:hideMark/>
          </w:tcPr>
          <w:p w14:paraId="6683ED5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Frequency Range – FR2?</w:t>
            </w:r>
          </w:p>
        </w:tc>
        <w:tc>
          <w:tcPr>
            <w:tcW w:w="0" w:type="auto"/>
            <w:tcBorders>
              <w:top w:val="single" w:sz="4" w:space="0" w:color="auto"/>
              <w:left w:val="single" w:sz="4" w:space="0" w:color="auto"/>
              <w:bottom w:val="single" w:sz="4" w:space="0" w:color="auto"/>
              <w:right w:val="single" w:sz="4" w:space="0" w:color="auto"/>
            </w:tcBorders>
          </w:tcPr>
          <w:p w14:paraId="6E364FDE"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A2E93E"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p w14:paraId="68DAB115"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No FR1</w:t>
            </w:r>
          </w:p>
        </w:tc>
        <w:tc>
          <w:tcPr>
            <w:tcW w:w="0" w:type="auto"/>
            <w:tcBorders>
              <w:top w:val="single" w:sz="4" w:space="0" w:color="auto"/>
              <w:left w:val="single" w:sz="4" w:space="0" w:color="auto"/>
              <w:bottom w:val="single" w:sz="4" w:space="0" w:color="auto"/>
              <w:right w:val="single" w:sz="4" w:space="0" w:color="auto"/>
            </w:tcBorders>
            <w:hideMark/>
          </w:tcPr>
          <w:p w14:paraId="28C8705C"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 FR2</w:t>
            </w:r>
          </w:p>
        </w:tc>
        <w:tc>
          <w:tcPr>
            <w:tcW w:w="0" w:type="auto"/>
            <w:tcBorders>
              <w:top w:val="single" w:sz="4" w:space="0" w:color="auto"/>
              <w:left w:val="single" w:sz="4" w:space="0" w:color="auto"/>
              <w:bottom w:val="single" w:sz="4" w:space="0" w:color="auto"/>
              <w:right w:val="single" w:sz="4" w:space="0" w:color="auto"/>
            </w:tcBorders>
          </w:tcPr>
          <w:p w14:paraId="2C8B4B52"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76D550B8"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868B11"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 FR2</w:t>
            </w:r>
          </w:p>
        </w:tc>
        <w:tc>
          <w:tcPr>
            <w:tcW w:w="0" w:type="auto"/>
            <w:tcBorders>
              <w:top w:val="single" w:sz="4" w:space="0" w:color="auto"/>
              <w:left w:val="single" w:sz="4" w:space="0" w:color="auto"/>
              <w:bottom w:val="single" w:sz="4" w:space="0" w:color="auto"/>
              <w:right w:val="single" w:sz="4" w:space="0" w:color="auto"/>
            </w:tcBorders>
          </w:tcPr>
          <w:p w14:paraId="7491FE7D"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1FDCF03B"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79F8D3C8" w14:textId="77777777" w:rsidR="00995D89" w:rsidRDefault="00995D89">
            <w:pPr>
              <w:overflowPunct w:val="0"/>
              <w:autoSpaceDE w:val="0"/>
              <w:autoSpaceDN w:val="0"/>
              <w:adjustRightInd w:val="0"/>
              <w:textAlignment w:val="baseline"/>
              <w:rPr>
                <w:rFonts w:eastAsiaTheme="minorEastAsia"/>
                <w:sz w:val="13"/>
                <w:szCs w:val="13"/>
                <w:lang w:eastAsia="zh-CN"/>
              </w:rPr>
            </w:pPr>
          </w:p>
        </w:tc>
      </w:tr>
      <w:tr w:rsidR="00995D89" w14:paraId="2D52F5A4" w14:textId="77777777" w:rsidTr="00995D89">
        <w:trPr>
          <w:trHeight w:val="813"/>
          <w:jc w:val="center"/>
        </w:trPr>
        <w:tc>
          <w:tcPr>
            <w:tcW w:w="0" w:type="auto"/>
            <w:tcBorders>
              <w:top w:val="single" w:sz="4" w:space="0" w:color="auto"/>
              <w:left w:val="single" w:sz="4" w:space="0" w:color="auto"/>
              <w:bottom w:val="single" w:sz="4" w:space="0" w:color="auto"/>
              <w:right w:val="single" w:sz="4" w:space="0" w:color="auto"/>
            </w:tcBorders>
            <w:hideMark/>
          </w:tcPr>
          <w:p w14:paraId="4045A6AA" w14:textId="77777777" w:rsidR="00995D89" w:rsidRDefault="00995D89">
            <w:pPr>
              <w:textAlignment w:val="baseline"/>
              <w:rPr>
                <w:rFonts w:eastAsiaTheme="minorEastAsia"/>
                <w:sz w:val="13"/>
                <w:szCs w:val="13"/>
                <w:lang w:eastAsia="zh-CN"/>
              </w:rPr>
            </w:pPr>
            <w:r>
              <w:rPr>
                <w:rFonts w:eastAsiaTheme="minorEastAsia"/>
                <w:sz w:val="13"/>
                <w:szCs w:val="13"/>
                <w:lang w:eastAsia="zh-CN"/>
              </w:rPr>
              <w:t>Beam switching delay for TCI states switching</w:t>
            </w:r>
          </w:p>
        </w:tc>
        <w:tc>
          <w:tcPr>
            <w:tcW w:w="0" w:type="auto"/>
            <w:tcBorders>
              <w:top w:val="single" w:sz="4" w:space="0" w:color="auto"/>
              <w:left w:val="single" w:sz="4" w:space="0" w:color="auto"/>
              <w:bottom w:val="single" w:sz="4" w:space="0" w:color="auto"/>
              <w:right w:val="single" w:sz="4" w:space="0" w:color="auto"/>
            </w:tcBorders>
            <w:hideMark/>
          </w:tcPr>
          <w:p w14:paraId="4B17AD36"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p w14:paraId="665CC835" w14:textId="77777777" w:rsidR="00995D89" w:rsidRDefault="00995D89">
            <w:pPr>
              <w:textAlignment w:val="baseline"/>
              <w:rPr>
                <w:rFonts w:eastAsiaTheme="minorEastAsia"/>
                <w:sz w:val="13"/>
                <w:szCs w:val="13"/>
                <w:lang w:eastAsia="zh-CN"/>
              </w:rPr>
            </w:pPr>
            <w:r>
              <w:rPr>
                <w:rFonts w:eastAsiaTheme="minorEastAsia"/>
                <w:sz w:val="13"/>
                <w:szCs w:val="13"/>
                <w:lang w:eastAsia="zh-CN"/>
              </w:rPr>
              <w:t>Both known and unknown TCI</w:t>
            </w:r>
          </w:p>
        </w:tc>
        <w:tc>
          <w:tcPr>
            <w:tcW w:w="0" w:type="auto"/>
            <w:tcBorders>
              <w:top w:val="single" w:sz="4" w:space="0" w:color="auto"/>
              <w:left w:val="single" w:sz="4" w:space="0" w:color="auto"/>
              <w:bottom w:val="single" w:sz="4" w:space="0" w:color="auto"/>
              <w:right w:val="single" w:sz="4" w:space="0" w:color="auto"/>
            </w:tcBorders>
            <w:hideMark/>
          </w:tcPr>
          <w:p w14:paraId="1079800F"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tcPr>
          <w:p w14:paraId="20327B05"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4BA631CD"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41D16E26"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7B7821" w14:textId="77777777" w:rsidR="00995D89" w:rsidRDefault="00995D89">
            <w:pPr>
              <w:textAlignment w:val="baseline"/>
              <w:rPr>
                <w:rFonts w:eastAsiaTheme="minorEastAsia"/>
                <w:sz w:val="13"/>
                <w:szCs w:val="13"/>
                <w:lang w:eastAsia="zh-CN"/>
              </w:rPr>
            </w:pPr>
            <w:r>
              <w:rPr>
                <w:rFonts w:eastAsiaTheme="minorEastAsia"/>
                <w:sz w:val="13"/>
                <w:szCs w:val="13"/>
                <w:lang w:eastAsia="zh-CN"/>
              </w:rPr>
              <w:t>FFS on core req.</w:t>
            </w:r>
          </w:p>
        </w:tc>
        <w:tc>
          <w:tcPr>
            <w:tcW w:w="0" w:type="auto"/>
            <w:tcBorders>
              <w:top w:val="single" w:sz="4" w:space="0" w:color="auto"/>
              <w:left w:val="single" w:sz="4" w:space="0" w:color="auto"/>
              <w:bottom w:val="single" w:sz="4" w:space="0" w:color="auto"/>
              <w:right w:val="single" w:sz="4" w:space="0" w:color="auto"/>
            </w:tcBorders>
            <w:hideMark/>
          </w:tcPr>
          <w:p w14:paraId="0DBC590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FFS on core req.</w:t>
            </w:r>
          </w:p>
        </w:tc>
        <w:tc>
          <w:tcPr>
            <w:tcW w:w="0" w:type="auto"/>
            <w:tcBorders>
              <w:top w:val="single" w:sz="4" w:space="0" w:color="auto"/>
              <w:left w:val="single" w:sz="4" w:space="0" w:color="auto"/>
              <w:bottom w:val="single" w:sz="4" w:space="0" w:color="auto"/>
              <w:right w:val="single" w:sz="4" w:space="0" w:color="auto"/>
            </w:tcBorders>
            <w:hideMark/>
          </w:tcPr>
          <w:p w14:paraId="0DB0A050" w14:textId="77777777" w:rsidR="00995D89" w:rsidRDefault="00995D89">
            <w:pPr>
              <w:textAlignment w:val="baseline"/>
              <w:rPr>
                <w:rFonts w:eastAsia="Yu Mincho"/>
                <w:sz w:val="13"/>
                <w:szCs w:val="13"/>
                <w:lang w:eastAsia="zh-CN"/>
              </w:rPr>
            </w:pPr>
            <w:r>
              <w:rPr>
                <w:sz w:val="13"/>
                <w:szCs w:val="13"/>
                <w:lang w:eastAsia="zh-CN"/>
              </w:rPr>
              <w:t>No MAC CE-based TCI state switching</w:t>
            </w:r>
          </w:p>
          <w:p w14:paraId="4C02E212" w14:textId="77777777" w:rsidR="00995D89" w:rsidRDefault="00995D89">
            <w:pPr>
              <w:textAlignment w:val="baseline"/>
              <w:rPr>
                <w:rFonts w:eastAsiaTheme="minorEastAsia"/>
                <w:sz w:val="13"/>
                <w:szCs w:val="13"/>
                <w:lang w:eastAsia="zh-CN"/>
              </w:rPr>
            </w:pPr>
            <w:r>
              <w:rPr>
                <w:rFonts w:eastAsiaTheme="minorEastAsia"/>
                <w:sz w:val="13"/>
                <w:szCs w:val="13"/>
                <w:lang w:eastAsia="zh-CN"/>
              </w:rPr>
              <w:t>FFS on DCI-based TCI state switching</w:t>
            </w:r>
          </w:p>
        </w:tc>
        <w:tc>
          <w:tcPr>
            <w:tcW w:w="0" w:type="auto"/>
            <w:tcBorders>
              <w:top w:val="single" w:sz="4" w:space="0" w:color="auto"/>
              <w:left w:val="single" w:sz="4" w:space="0" w:color="auto"/>
              <w:bottom w:val="single" w:sz="4" w:space="0" w:color="auto"/>
              <w:right w:val="single" w:sz="4" w:space="0" w:color="auto"/>
            </w:tcBorders>
          </w:tcPr>
          <w:p w14:paraId="25A7B18B" w14:textId="77777777" w:rsidR="00995D89" w:rsidRDefault="00995D89">
            <w:pPr>
              <w:overflowPunct w:val="0"/>
              <w:autoSpaceDE w:val="0"/>
              <w:autoSpaceDN w:val="0"/>
              <w:adjustRightInd w:val="0"/>
              <w:textAlignment w:val="baseline"/>
              <w:rPr>
                <w:rFonts w:eastAsia="Yu Mincho"/>
                <w:sz w:val="13"/>
                <w:szCs w:val="13"/>
                <w:lang w:eastAsia="zh-CN"/>
              </w:rPr>
            </w:pPr>
          </w:p>
        </w:tc>
      </w:tr>
      <w:tr w:rsidR="00995D89" w14:paraId="0010F30B" w14:textId="77777777" w:rsidTr="00995D89">
        <w:trPr>
          <w:trHeight w:val="314"/>
          <w:jc w:val="center"/>
        </w:trPr>
        <w:tc>
          <w:tcPr>
            <w:tcW w:w="0" w:type="auto"/>
            <w:tcBorders>
              <w:top w:val="single" w:sz="4" w:space="0" w:color="auto"/>
              <w:left w:val="single" w:sz="4" w:space="0" w:color="auto"/>
              <w:bottom w:val="single" w:sz="4" w:space="0" w:color="auto"/>
              <w:right w:val="single" w:sz="4" w:space="0" w:color="auto"/>
            </w:tcBorders>
            <w:hideMark/>
          </w:tcPr>
          <w:p w14:paraId="62A66DBE" w14:textId="77777777" w:rsidR="00995D89" w:rsidRDefault="00995D89">
            <w:pPr>
              <w:textAlignment w:val="baseline"/>
              <w:rPr>
                <w:rFonts w:eastAsiaTheme="minorEastAsia"/>
                <w:sz w:val="13"/>
                <w:szCs w:val="13"/>
                <w:lang w:eastAsia="zh-CN"/>
              </w:rPr>
            </w:pPr>
            <w:r>
              <w:rPr>
                <w:rFonts w:eastAsiaTheme="minorEastAsia"/>
                <w:sz w:val="13"/>
                <w:szCs w:val="13"/>
                <w:lang w:eastAsia="zh-CN"/>
              </w:rPr>
              <w:t>L1 measurement reporting delay</w:t>
            </w:r>
          </w:p>
        </w:tc>
        <w:tc>
          <w:tcPr>
            <w:tcW w:w="0" w:type="auto"/>
            <w:tcBorders>
              <w:top w:val="single" w:sz="4" w:space="0" w:color="auto"/>
              <w:left w:val="single" w:sz="4" w:space="0" w:color="auto"/>
              <w:bottom w:val="single" w:sz="4" w:space="0" w:color="auto"/>
              <w:right w:val="single" w:sz="4" w:space="0" w:color="auto"/>
            </w:tcBorders>
          </w:tcPr>
          <w:p w14:paraId="25CCF1B5"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426184DF"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323329DE"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D9EEBB" w14:textId="77777777" w:rsidR="00995D89" w:rsidRDefault="00995D89">
            <w:pPr>
              <w:textAlignment w:val="baseline"/>
              <w:rPr>
                <w:rFonts w:eastAsiaTheme="minorEastAsia"/>
                <w:sz w:val="13"/>
                <w:szCs w:val="13"/>
                <w:lang w:eastAsia="zh-CN"/>
              </w:rPr>
            </w:pPr>
            <w:r>
              <w:rPr>
                <w:rFonts w:eastAsiaTheme="minorEastAsia"/>
                <w:sz w:val="13"/>
                <w:szCs w:val="13"/>
                <w:lang w:eastAsia="zh-CN"/>
              </w:rPr>
              <w:t>Y</w:t>
            </w:r>
          </w:p>
        </w:tc>
        <w:tc>
          <w:tcPr>
            <w:tcW w:w="0" w:type="auto"/>
            <w:tcBorders>
              <w:top w:val="single" w:sz="4" w:space="0" w:color="auto"/>
              <w:left w:val="single" w:sz="4" w:space="0" w:color="auto"/>
              <w:bottom w:val="single" w:sz="4" w:space="0" w:color="auto"/>
              <w:right w:val="single" w:sz="4" w:space="0" w:color="auto"/>
            </w:tcBorders>
          </w:tcPr>
          <w:p w14:paraId="16A867E8"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55A6FF61"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02A00CC0"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5115D36D" w14:textId="77777777" w:rsidR="00995D89" w:rsidRDefault="00995D89">
            <w:pPr>
              <w:overflowPunct w:val="0"/>
              <w:autoSpaceDE w:val="0"/>
              <w:autoSpaceDN w:val="0"/>
              <w:adjustRightInd w:val="0"/>
              <w:textAlignment w:val="baseline"/>
              <w:rPr>
                <w:rFonts w:eastAsia="Yu Mincho"/>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4D5CE6D9" w14:textId="77777777" w:rsidR="00995D89" w:rsidRDefault="00995D89">
            <w:pPr>
              <w:overflowPunct w:val="0"/>
              <w:autoSpaceDE w:val="0"/>
              <w:autoSpaceDN w:val="0"/>
              <w:adjustRightInd w:val="0"/>
              <w:textAlignment w:val="baseline"/>
              <w:rPr>
                <w:sz w:val="13"/>
                <w:szCs w:val="13"/>
                <w:lang w:eastAsia="zh-CN"/>
              </w:rPr>
            </w:pPr>
          </w:p>
        </w:tc>
      </w:tr>
      <w:tr w:rsidR="00995D89" w14:paraId="3EFD181F" w14:textId="77777777" w:rsidTr="00995D89">
        <w:trPr>
          <w:trHeight w:val="170"/>
          <w:jc w:val="center"/>
        </w:trPr>
        <w:tc>
          <w:tcPr>
            <w:tcW w:w="0" w:type="auto"/>
            <w:tcBorders>
              <w:top w:val="single" w:sz="4" w:space="0" w:color="auto"/>
              <w:left w:val="single" w:sz="4" w:space="0" w:color="auto"/>
              <w:bottom w:val="single" w:sz="4" w:space="0" w:color="auto"/>
              <w:right w:val="single" w:sz="4" w:space="0" w:color="auto"/>
            </w:tcBorders>
            <w:hideMark/>
          </w:tcPr>
          <w:p w14:paraId="2548A92A" w14:textId="77777777" w:rsidR="00995D89" w:rsidRDefault="00995D89">
            <w:pPr>
              <w:textAlignment w:val="baseline"/>
              <w:rPr>
                <w:rFonts w:eastAsiaTheme="minorEastAsia"/>
                <w:sz w:val="13"/>
                <w:szCs w:val="13"/>
                <w:lang w:eastAsia="zh-CN"/>
              </w:rPr>
            </w:pPr>
            <w:r>
              <w:rPr>
                <w:rFonts w:eastAsiaTheme="minorEastAsia"/>
                <w:sz w:val="13"/>
                <w:szCs w:val="13"/>
                <w:lang w:eastAsia="zh-CN"/>
              </w:rPr>
              <w:t>CMI</w:t>
            </w:r>
          </w:p>
        </w:tc>
        <w:tc>
          <w:tcPr>
            <w:tcW w:w="0" w:type="auto"/>
            <w:tcBorders>
              <w:top w:val="single" w:sz="4" w:space="0" w:color="auto"/>
              <w:left w:val="single" w:sz="4" w:space="0" w:color="auto"/>
              <w:bottom w:val="single" w:sz="4" w:space="0" w:color="auto"/>
              <w:right w:val="single" w:sz="4" w:space="0" w:color="auto"/>
            </w:tcBorders>
          </w:tcPr>
          <w:p w14:paraId="6F8E84A0"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4982E9D5"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3E516606"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53C3BF42"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178D20F8"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1C368357" w14:textId="77777777" w:rsidR="00995D89" w:rsidRDefault="00995D89">
            <w:pPr>
              <w:overflowPunct w:val="0"/>
              <w:autoSpaceDE w:val="0"/>
              <w:autoSpaceDN w:val="0"/>
              <w:adjustRightInd w:val="0"/>
              <w:textAlignment w:val="baseline"/>
              <w:rPr>
                <w:rFonts w:eastAsiaTheme="minorEastAsia"/>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5971C0" w14:textId="77777777" w:rsidR="00995D89" w:rsidRDefault="00995D89">
            <w:pPr>
              <w:textAlignment w:val="baseline"/>
              <w:rPr>
                <w:rFonts w:eastAsiaTheme="minorEastAsia"/>
                <w:sz w:val="13"/>
                <w:szCs w:val="13"/>
                <w:lang w:eastAsia="zh-CN"/>
              </w:rPr>
            </w:pPr>
            <w:r>
              <w:rPr>
                <w:rFonts w:eastAsiaTheme="minorEastAsia"/>
                <w:sz w:val="13"/>
                <w:szCs w:val="13"/>
                <w:lang w:eastAsia="zh-CN"/>
              </w:rPr>
              <w:t>N</w:t>
            </w:r>
          </w:p>
        </w:tc>
        <w:tc>
          <w:tcPr>
            <w:tcW w:w="0" w:type="auto"/>
            <w:tcBorders>
              <w:top w:val="single" w:sz="4" w:space="0" w:color="auto"/>
              <w:left w:val="single" w:sz="4" w:space="0" w:color="auto"/>
              <w:bottom w:val="single" w:sz="4" w:space="0" w:color="auto"/>
              <w:right w:val="single" w:sz="4" w:space="0" w:color="auto"/>
            </w:tcBorders>
          </w:tcPr>
          <w:p w14:paraId="6C6DC816" w14:textId="77777777" w:rsidR="00995D89" w:rsidRDefault="00995D89">
            <w:pPr>
              <w:overflowPunct w:val="0"/>
              <w:autoSpaceDE w:val="0"/>
              <w:autoSpaceDN w:val="0"/>
              <w:adjustRightInd w:val="0"/>
              <w:textAlignment w:val="baseline"/>
              <w:rPr>
                <w:rFonts w:eastAsia="Yu Mincho"/>
                <w:sz w:val="13"/>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4AA1DF37" w14:textId="77777777" w:rsidR="00995D89" w:rsidRDefault="00995D89">
            <w:pPr>
              <w:overflowPunct w:val="0"/>
              <w:autoSpaceDE w:val="0"/>
              <w:autoSpaceDN w:val="0"/>
              <w:adjustRightInd w:val="0"/>
              <w:textAlignment w:val="baseline"/>
              <w:rPr>
                <w:sz w:val="13"/>
                <w:szCs w:val="13"/>
                <w:lang w:eastAsia="zh-CN"/>
              </w:rPr>
            </w:pPr>
          </w:p>
        </w:tc>
      </w:tr>
    </w:tbl>
    <w:p w14:paraId="60C94269" w14:textId="77777777" w:rsidR="001610B4" w:rsidRDefault="001610B4" w:rsidP="009570D6"/>
    <w:p w14:paraId="753A4D41" w14:textId="2EB05F86" w:rsidR="00266249" w:rsidRDefault="00266249" w:rsidP="009570D6">
      <w:pPr>
        <w:rPr>
          <w:b/>
          <w:bCs/>
          <w:u w:val="single"/>
        </w:rPr>
      </w:pPr>
      <w:r w:rsidRPr="00266249">
        <w:rPr>
          <w:b/>
          <w:bCs/>
          <w:u w:val="single"/>
        </w:rPr>
        <w:t xml:space="preserve">Test case to cover </w:t>
      </w:r>
      <w:r w:rsidRPr="003A7B1B">
        <w:rPr>
          <w:b/>
          <w:bCs/>
          <w:u w:val="single"/>
        </w:rPr>
        <w:t>Event-2/Event-1/Event-7</w:t>
      </w:r>
    </w:p>
    <w:p w14:paraId="40511A20" w14:textId="4AE26119" w:rsidR="00266249" w:rsidRDefault="00266249" w:rsidP="009570D6">
      <w:r>
        <w:lastRenderedPageBreak/>
        <w:t xml:space="preserve">In </w:t>
      </w:r>
      <w:r w:rsidR="0058638E">
        <w:t xml:space="preserve">RAN4#115 it was agreed </w:t>
      </w:r>
      <w:r w:rsidR="00CA1EA6">
        <w:t xml:space="preserve">to reuse for Event1 and Event 7, the same design as the requirements </w:t>
      </w:r>
      <w:r w:rsidR="004D6F19">
        <w:t xml:space="preserve">defined for Event 2. In view of this, </w:t>
      </w:r>
      <w:r w:rsidR="00EF2DCE">
        <w:t xml:space="preserve">defining a test case to verify UEIBM requirements for </w:t>
      </w:r>
      <w:r w:rsidR="00113EEA">
        <w:t>Event</w:t>
      </w:r>
      <w:r w:rsidR="00EF2DCE">
        <w:t xml:space="preserve">-2 </w:t>
      </w:r>
      <w:r w:rsidR="00262D7D">
        <w:t>shall suffice</w:t>
      </w:r>
      <w:r w:rsidR="00262D7D" w:rsidRPr="00B63C32">
        <w:t>.</w:t>
      </w:r>
      <w:r w:rsidR="001B5B93" w:rsidRPr="00B63C32">
        <w:t xml:space="preserve"> Defining </w:t>
      </w:r>
      <w:r w:rsidR="008D29D8" w:rsidRPr="00B63C32">
        <w:t>separate test case</w:t>
      </w:r>
      <w:r w:rsidR="00113EEA">
        <w:t>s</w:t>
      </w:r>
      <w:r w:rsidR="008D29D8" w:rsidRPr="00B63C32">
        <w:t xml:space="preserve"> for Event-1 and Event-7 </w:t>
      </w:r>
      <w:r w:rsidR="00BC3455" w:rsidRPr="00B63C32">
        <w:t>will</w:t>
      </w:r>
      <w:r w:rsidR="008D29D8" w:rsidRPr="00B63C32">
        <w:t xml:space="preserve"> </w:t>
      </w:r>
      <w:r w:rsidR="006D6885" w:rsidRPr="00B63C32">
        <w:t xml:space="preserve">only increase the test burden and not </w:t>
      </w:r>
      <w:r w:rsidR="00BC3455" w:rsidRPr="00B63C32">
        <w:t>verify any new requirements.</w:t>
      </w:r>
    </w:p>
    <w:p w14:paraId="7851F6DB" w14:textId="2EE324CE" w:rsidR="009D7BDA" w:rsidRDefault="009D7BDA" w:rsidP="009D7BDA">
      <w:pPr>
        <w:pStyle w:val="RAN4proposal"/>
      </w:pPr>
      <w:bookmarkStart w:id="4" w:name="_Toc210397708"/>
      <w:r>
        <w:t xml:space="preserve">RAN4 to </w:t>
      </w:r>
      <w:r w:rsidR="002C2874">
        <w:t>at</w:t>
      </w:r>
      <w:r w:rsidR="0071133A">
        <w:t xml:space="preserve"> </w:t>
      </w:r>
      <w:r w:rsidR="002C2874">
        <w:t xml:space="preserve">least </w:t>
      </w:r>
      <w:r>
        <w:t xml:space="preserve">define a test case for </w:t>
      </w:r>
      <w:r w:rsidR="00512E80">
        <w:t>Event-2.</w:t>
      </w:r>
      <w:bookmarkEnd w:id="4"/>
    </w:p>
    <w:p w14:paraId="492ECEA8" w14:textId="7E43877C" w:rsidR="00AD2464" w:rsidRPr="00D84383" w:rsidRDefault="001E5868" w:rsidP="009570D6">
      <w:pPr>
        <w:rPr>
          <w:b/>
          <w:u w:val="single"/>
        </w:rPr>
      </w:pPr>
      <w:r w:rsidRPr="00D84383">
        <w:rPr>
          <w:b/>
          <w:bCs/>
          <w:u w:val="single"/>
        </w:rPr>
        <w:t xml:space="preserve">Test case for Mode A </w:t>
      </w:r>
      <w:r w:rsidR="00D84383" w:rsidRPr="00D84383">
        <w:rPr>
          <w:b/>
          <w:bCs/>
          <w:u w:val="single"/>
        </w:rPr>
        <w:t>and Mode B:</w:t>
      </w:r>
    </w:p>
    <w:p w14:paraId="66DDA0AA" w14:textId="498EF528" w:rsidR="005D365F" w:rsidRDefault="005D365F" w:rsidP="005D365F">
      <w:r>
        <w:t>Mode A is the basic UE mode of operation, i.e., all UEs supporting UEIBM reporting should support Mode A, whereas Mode B is subject to UE capabilities, i.e. only a subset of the UEs supporting UEIBM may support Mode B. It is straightforward to say that if the UE supports only one of these reporting modes</w:t>
      </w:r>
      <w:r w:rsidR="00113EEA">
        <w:t>,</w:t>
      </w:r>
      <w:r>
        <w:t xml:space="preserve"> i.e. Mode A, the UE shall be tested with that mode. But if the UE supports both modes, UE should be tested with both modes. Furthermore, it has to be discussed how to define the test cases for the two modes. Initially</w:t>
      </w:r>
      <w:r w:rsidR="003E62E2">
        <w:t>,</w:t>
      </w:r>
      <w:r>
        <w:t xml:space="preserve"> we would think there is no need to duplicate the test cases, but the modes can be listed as options under each test case, and the mode</w:t>
      </w:r>
      <w:r w:rsidR="00D35057">
        <w:t>(s)</w:t>
      </w:r>
      <w:r>
        <w:t xml:space="preserve"> to be used for the test case shall be selected based on UE support. </w:t>
      </w:r>
    </w:p>
    <w:p w14:paraId="223E6C04" w14:textId="02BDA65C" w:rsidR="00222557" w:rsidRDefault="00222557" w:rsidP="00222557">
      <w:pPr>
        <w:pStyle w:val="RAN4proposal"/>
      </w:pPr>
      <w:bookmarkStart w:id="5" w:name="_Toc210397709"/>
      <w:r>
        <w:t>If UE only supports Mode A, UE to be tested with Mode A.</w:t>
      </w:r>
      <w:bookmarkEnd w:id="5"/>
    </w:p>
    <w:p w14:paraId="2EA70DAD" w14:textId="19A5848D" w:rsidR="00222557" w:rsidRDefault="00222557" w:rsidP="005D365F">
      <w:pPr>
        <w:pStyle w:val="RAN4proposal"/>
      </w:pPr>
      <w:bookmarkStart w:id="6" w:name="_Toc210397710"/>
      <w:r>
        <w:t xml:space="preserve">If UE supports both Mode A and Mode B, </w:t>
      </w:r>
      <w:r w:rsidR="00F13DC8">
        <w:t>UE to be tested with both modes.</w:t>
      </w:r>
      <w:bookmarkEnd w:id="6"/>
    </w:p>
    <w:p w14:paraId="5F698F3E" w14:textId="43A63221" w:rsidR="005D365F" w:rsidRDefault="00F13DC8" w:rsidP="00E14180">
      <w:pPr>
        <w:pStyle w:val="RAN4proposal"/>
      </w:pPr>
      <w:bookmarkStart w:id="7" w:name="_Toc210397711"/>
      <w:r>
        <w:t>Include</w:t>
      </w:r>
      <w:r w:rsidR="005D365F">
        <w:t xml:space="preserve"> reporting Mode A and Mode B as test configurations under each UEIBM test. </w:t>
      </w:r>
      <w:r w:rsidR="006F6672">
        <w:t>No need to duplicate test cases.</w:t>
      </w:r>
      <w:bookmarkEnd w:id="7"/>
    </w:p>
    <w:p w14:paraId="3567072F" w14:textId="0599CE98" w:rsidR="00AD2464" w:rsidRPr="008F7EFB" w:rsidRDefault="008F7EFB" w:rsidP="009570D6">
      <w:pPr>
        <w:rPr>
          <w:b/>
          <w:u w:val="single"/>
        </w:rPr>
      </w:pPr>
      <w:r w:rsidRPr="008F7EFB">
        <w:rPr>
          <w:b/>
          <w:bCs/>
          <w:u w:val="single"/>
        </w:rPr>
        <w:t xml:space="preserve">Event-trigger for </w:t>
      </w:r>
      <w:r w:rsidR="0089543E">
        <w:rPr>
          <w:b/>
          <w:bCs/>
          <w:u w:val="single"/>
        </w:rPr>
        <w:t>i</w:t>
      </w:r>
      <w:r w:rsidRPr="008F7EFB">
        <w:rPr>
          <w:b/>
          <w:bCs/>
          <w:u w:val="single"/>
        </w:rPr>
        <w:t>ntra-cell</w:t>
      </w:r>
      <w:r w:rsidR="00363D75">
        <w:rPr>
          <w:b/>
          <w:bCs/>
          <w:u w:val="single"/>
        </w:rPr>
        <w:t>/</w:t>
      </w:r>
      <w:r w:rsidR="0089543E">
        <w:rPr>
          <w:b/>
          <w:bCs/>
          <w:u w:val="single"/>
        </w:rPr>
        <w:t>inter-cell</w:t>
      </w:r>
      <w:r w:rsidRPr="008F7EFB">
        <w:rPr>
          <w:b/>
          <w:bCs/>
          <w:u w:val="single"/>
        </w:rPr>
        <w:t xml:space="preserve"> BM for CSI-RS and SSB</w:t>
      </w:r>
    </w:p>
    <w:p w14:paraId="240514C1" w14:textId="62F0234B" w:rsidR="00A55428" w:rsidRDefault="009570D6" w:rsidP="00A55428">
      <w:pPr>
        <w:rPr>
          <w:color w:val="000000" w:themeColor="text1"/>
          <w:lang w:val="en-US"/>
        </w:rPr>
      </w:pPr>
      <w:r w:rsidRPr="00DD53EF">
        <w:rPr>
          <w:lang w:val="en-US"/>
        </w:rPr>
        <w:t xml:space="preserve">RAN4 </w:t>
      </w:r>
      <w:r w:rsidR="00F05094">
        <w:rPr>
          <w:lang w:val="en-US"/>
        </w:rPr>
        <w:t xml:space="preserve">has agreed to </w:t>
      </w:r>
      <w:r w:rsidRPr="00DD53EF">
        <w:rPr>
          <w:lang w:val="en-US"/>
        </w:rPr>
        <w:t>define the event-triggered L1 UEIBM reporting delay</w:t>
      </w:r>
      <w:r w:rsidR="00470735">
        <w:rPr>
          <w:lang w:val="en-US"/>
        </w:rPr>
        <w:t xml:space="preserve"> </w:t>
      </w:r>
      <w:r w:rsidRPr="00F05094">
        <w:rPr>
          <w:color w:val="000000" w:themeColor="text1"/>
          <w:lang w:val="en-US"/>
        </w:rPr>
        <w:t>requirements</w:t>
      </w:r>
      <w:r w:rsidR="00F05094" w:rsidRPr="00F05094">
        <w:rPr>
          <w:color w:val="000000" w:themeColor="text1"/>
          <w:lang w:val="en-US"/>
        </w:rPr>
        <w:t xml:space="preserve"> which </w:t>
      </w:r>
      <w:r w:rsidRPr="00F05094">
        <w:rPr>
          <w:color w:val="000000" w:themeColor="text1"/>
          <w:lang w:val="en-US"/>
        </w:rPr>
        <w:t>apply to FR2 intra-cell SSB and CSI-RS based reporting, and inter-cell SSB based reporting.</w:t>
      </w:r>
      <w:r w:rsidR="00363D75">
        <w:rPr>
          <w:color w:val="000000" w:themeColor="text1"/>
          <w:lang w:val="en-US"/>
        </w:rPr>
        <w:t xml:space="preserve"> </w:t>
      </w:r>
      <w:r w:rsidR="00F36B93">
        <w:rPr>
          <w:color w:val="000000" w:themeColor="text1"/>
          <w:lang w:val="en-US"/>
        </w:rPr>
        <w:t xml:space="preserve">In the case of inter-cell CSI-RS based reporting, </w:t>
      </w:r>
      <w:r w:rsidR="005A2CD3">
        <w:rPr>
          <w:color w:val="000000" w:themeColor="text1"/>
          <w:lang w:val="en-US"/>
        </w:rPr>
        <w:t xml:space="preserve">it has been agreed to reuse </w:t>
      </w:r>
      <w:r w:rsidR="00F36B93">
        <w:rPr>
          <w:color w:val="000000" w:themeColor="text1"/>
          <w:lang w:val="en-US"/>
        </w:rPr>
        <w:t xml:space="preserve">the existing </w:t>
      </w:r>
      <w:proofErr w:type="gramStart"/>
      <w:r w:rsidR="005A2CD3">
        <w:rPr>
          <w:color w:val="000000" w:themeColor="text1"/>
          <w:lang w:val="en-US"/>
        </w:rPr>
        <w:t>requirements</w:t>
      </w:r>
      <w:proofErr w:type="gramEnd"/>
      <w:r w:rsidR="005A2CD3">
        <w:rPr>
          <w:color w:val="000000" w:themeColor="text1"/>
          <w:lang w:val="en-US"/>
        </w:rPr>
        <w:t xml:space="preserve"> structure. In view of this, </w:t>
      </w:r>
      <w:r w:rsidR="002F455A">
        <w:rPr>
          <w:color w:val="000000" w:themeColor="text1"/>
          <w:lang w:val="en-US"/>
        </w:rPr>
        <w:t xml:space="preserve">RAN4 </w:t>
      </w:r>
      <w:proofErr w:type="gramStart"/>
      <w:r w:rsidR="002F455A">
        <w:rPr>
          <w:color w:val="000000" w:themeColor="text1"/>
          <w:lang w:val="en-US"/>
        </w:rPr>
        <w:t>shall</w:t>
      </w:r>
      <w:proofErr w:type="gramEnd"/>
      <w:r w:rsidR="002F455A">
        <w:rPr>
          <w:color w:val="000000" w:themeColor="text1"/>
          <w:lang w:val="en-US"/>
        </w:rPr>
        <w:t xml:space="preserve"> </w:t>
      </w:r>
      <w:r w:rsidR="00A55428">
        <w:rPr>
          <w:color w:val="000000" w:themeColor="text1"/>
          <w:lang w:val="en-US"/>
        </w:rPr>
        <w:t>defin</w:t>
      </w:r>
      <w:r w:rsidR="002F455A">
        <w:rPr>
          <w:color w:val="000000" w:themeColor="text1"/>
          <w:lang w:val="en-US"/>
        </w:rPr>
        <w:t>e</w:t>
      </w:r>
      <w:r w:rsidR="00A55428">
        <w:rPr>
          <w:color w:val="000000" w:themeColor="text1"/>
          <w:lang w:val="en-US"/>
        </w:rPr>
        <w:t xml:space="preserve"> test cases for </w:t>
      </w:r>
      <w:r w:rsidR="00A55428" w:rsidRPr="002F455A">
        <w:rPr>
          <w:color w:val="000000" w:themeColor="text1"/>
          <w:lang w:val="en-US"/>
        </w:rPr>
        <w:t xml:space="preserve">Event-trigger for </w:t>
      </w:r>
      <w:r w:rsidR="0089543E">
        <w:rPr>
          <w:color w:val="000000" w:themeColor="text1"/>
          <w:lang w:val="en-US"/>
        </w:rPr>
        <w:t>i</w:t>
      </w:r>
      <w:r w:rsidR="00A55428" w:rsidRPr="002F455A">
        <w:rPr>
          <w:color w:val="000000" w:themeColor="text1"/>
          <w:lang w:val="en-US"/>
        </w:rPr>
        <w:t>ntra-cell</w:t>
      </w:r>
      <w:r w:rsidR="0089543E">
        <w:rPr>
          <w:color w:val="000000" w:themeColor="text1"/>
          <w:lang w:val="en-US"/>
        </w:rPr>
        <w:t xml:space="preserve"> and inter-cell BM</w:t>
      </w:r>
      <w:r w:rsidR="00A55428" w:rsidRPr="002F455A">
        <w:rPr>
          <w:color w:val="000000" w:themeColor="text1"/>
          <w:lang w:val="en-US"/>
        </w:rPr>
        <w:t xml:space="preserve"> for CSI-RS and SSB</w:t>
      </w:r>
      <w:r w:rsidR="002F455A" w:rsidRPr="002F455A">
        <w:rPr>
          <w:color w:val="000000" w:themeColor="text1"/>
          <w:lang w:val="en-US"/>
        </w:rPr>
        <w:t>.</w:t>
      </w:r>
    </w:p>
    <w:p w14:paraId="7FEF6826" w14:textId="4994BE21" w:rsidR="003E02AD" w:rsidRDefault="003E02AD" w:rsidP="003E02AD">
      <w:pPr>
        <w:pStyle w:val="RAN4proposal"/>
        <w:rPr>
          <w:lang w:val="en-US"/>
        </w:rPr>
      </w:pPr>
      <w:bookmarkStart w:id="8" w:name="_Toc210397712"/>
      <w:r w:rsidRPr="47865D91">
        <w:rPr>
          <w:lang w:val="en-US"/>
        </w:rPr>
        <w:t xml:space="preserve">RAN4 shall define test cases for Event-trigger for </w:t>
      </w:r>
      <w:r w:rsidR="0089543E">
        <w:rPr>
          <w:lang w:val="en-US"/>
        </w:rPr>
        <w:t>i</w:t>
      </w:r>
      <w:r w:rsidRPr="47865D91">
        <w:rPr>
          <w:lang w:val="en-US"/>
        </w:rPr>
        <w:t>ntra-cell</w:t>
      </w:r>
      <w:r w:rsidR="00301874" w:rsidRPr="47865D91">
        <w:rPr>
          <w:lang w:val="en-US"/>
        </w:rPr>
        <w:t xml:space="preserve"> </w:t>
      </w:r>
      <w:r w:rsidR="0089543E">
        <w:rPr>
          <w:lang w:val="en-US"/>
        </w:rPr>
        <w:t xml:space="preserve">and inter-cell </w:t>
      </w:r>
      <w:r w:rsidR="00540797" w:rsidRPr="47865D91">
        <w:rPr>
          <w:lang w:val="en-US"/>
        </w:rPr>
        <w:t>BM</w:t>
      </w:r>
      <w:r w:rsidRPr="47865D91">
        <w:rPr>
          <w:lang w:val="en-US"/>
        </w:rPr>
        <w:t xml:space="preserve"> for CSI-RS and SSB</w:t>
      </w:r>
      <w:r w:rsidR="0089543E">
        <w:rPr>
          <w:lang w:val="en-US"/>
        </w:rPr>
        <w:t xml:space="preserve"> </w:t>
      </w:r>
      <w:r w:rsidR="00EA454C">
        <w:rPr>
          <w:lang w:val="en-US"/>
        </w:rPr>
        <w:t xml:space="preserve">based </w:t>
      </w:r>
      <w:r w:rsidR="0089543E">
        <w:rPr>
          <w:lang w:val="en-US"/>
        </w:rPr>
        <w:t>reporting</w:t>
      </w:r>
      <w:r w:rsidRPr="47865D91">
        <w:rPr>
          <w:lang w:val="en-US"/>
        </w:rPr>
        <w:t>.</w:t>
      </w:r>
      <w:bookmarkEnd w:id="8"/>
    </w:p>
    <w:p w14:paraId="7E211D71" w14:textId="4B6651E7" w:rsidR="002F455A" w:rsidRPr="006F6672" w:rsidRDefault="00A550E2" w:rsidP="006F6672">
      <w:pPr>
        <w:rPr>
          <w:b/>
          <w:bCs/>
          <w:u w:val="single"/>
          <w:lang w:val="en-US"/>
        </w:rPr>
      </w:pPr>
      <w:r w:rsidRPr="006F6672">
        <w:rPr>
          <w:b/>
          <w:bCs/>
          <w:u w:val="single"/>
          <w:lang w:val="en-US"/>
        </w:rPr>
        <w:t xml:space="preserve">Test case for </w:t>
      </w:r>
      <w:r w:rsidR="00AB7297" w:rsidRPr="006F6672">
        <w:rPr>
          <w:b/>
          <w:bCs/>
          <w:u w:val="single"/>
          <w:lang w:val="en-US"/>
        </w:rPr>
        <w:t>no time window and eventInstanceCount-r19 &gt; 1</w:t>
      </w:r>
      <w:r w:rsidRPr="006F6672">
        <w:rPr>
          <w:b/>
          <w:bCs/>
          <w:u w:val="single"/>
          <w:lang w:val="en-US"/>
        </w:rPr>
        <w:t xml:space="preserve">: </w:t>
      </w:r>
    </w:p>
    <w:p w14:paraId="7A8B7B3E" w14:textId="3914C2CF" w:rsidR="002F455A" w:rsidRDefault="00267310" w:rsidP="006F6672">
      <w:pPr>
        <w:rPr>
          <w:b/>
        </w:rPr>
      </w:pPr>
      <w:r w:rsidRPr="4A77645D">
        <w:t xml:space="preserve">Since core requirements have been defined for </w:t>
      </w:r>
      <w:r w:rsidR="00865521" w:rsidRPr="4A77645D">
        <w:t xml:space="preserve">eventInstanceCount-r19&gt;1, RAN4 </w:t>
      </w:r>
      <w:r w:rsidR="009E795E" w:rsidRPr="4A77645D">
        <w:t xml:space="preserve">should define a test case </w:t>
      </w:r>
      <w:r w:rsidR="00BD405F" w:rsidRPr="4A77645D">
        <w:t>for the</w:t>
      </w:r>
      <w:r w:rsidR="008325DE">
        <w:t xml:space="preserve"> </w:t>
      </w:r>
      <w:r w:rsidR="00EA454C">
        <w:t>w</w:t>
      </w:r>
      <w:r w:rsidR="00A550E2" w:rsidRPr="4A77645D">
        <w:t xml:space="preserve">indow-based reporting </w:t>
      </w:r>
      <w:r w:rsidR="00BD405F" w:rsidRPr="4A77645D">
        <w:t>approach</w:t>
      </w:r>
      <w:r w:rsidR="00A550E2" w:rsidRPr="4A77645D">
        <w:t xml:space="preserve">. </w:t>
      </w:r>
      <w:r w:rsidR="00EA454C">
        <w:t>Test cases should be defined for both SSB and CSI-RS based reporting.</w:t>
      </w:r>
    </w:p>
    <w:p w14:paraId="3A2903C8" w14:textId="00DE75C4" w:rsidR="00867328" w:rsidRDefault="00867328" w:rsidP="00867328">
      <w:pPr>
        <w:pStyle w:val="RAN4proposal"/>
        <w:rPr>
          <w:lang w:val="en-US"/>
        </w:rPr>
      </w:pPr>
      <w:bookmarkStart w:id="9" w:name="_Toc210397713"/>
      <w:r>
        <w:rPr>
          <w:lang w:val="en-US"/>
        </w:rPr>
        <w:t>RAN4 to define test case</w:t>
      </w:r>
      <w:r w:rsidR="00EA454C">
        <w:rPr>
          <w:lang w:val="en-US"/>
        </w:rPr>
        <w:t>s</w:t>
      </w:r>
      <w:r>
        <w:rPr>
          <w:lang w:val="en-US"/>
        </w:rPr>
        <w:t xml:space="preserve"> </w:t>
      </w:r>
      <w:r w:rsidR="00BD405F">
        <w:rPr>
          <w:lang w:val="en-US"/>
        </w:rPr>
        <w:t>when eventInstanceCount-r19&gt;1</w:t>
      </w:r>
      <w:r w:rsidR="00EA454C">
        <w:rPr>
          <w:lang w:val="en-US"/>
        </w:rPr>
        <w:t xml:space="preserve"> for SSB and CSI-RS based reporting</w:t>
      </w:r>
      <w:r w:rsidR="005C217D">
        <w:rPr>
          <w:lang w:val="en-US"/>
        </w:rPr>
        <w:t>.</w:t>
      </w:r>
      <w:bookmarkEnd w:id="9"/>
    </w:p>
    <w:p w14:paraId="427D152A" w14:textId="35E96BD6" w:rsidR="005C217D" w:rsidRDefault="005C217D" w:rsidP="005C217D">
      <w:pPr>
        <w:rPr>
          <w:b/>
          <w:bCs/>
          <w:u w:val="single"/>
          <w:lang w:val="en-US"/>
        </w:rPr>
      </w:pPr>
      <w:r w:rsidRPr="005C217D">
        <w:rPr>
          <w:b/>
          <w:bCs/>
          <w:u w:val="single"/>
          <w:lang w:val="en-US"/>
        </w:rPr>
        <w:t>Beam switching delay for TCI states switching</w:t>
      </w:r>
      <w:r>
        <w:rPr>
          <w:b/>
          <w:bCs/>
          <w:u w:val="single"/>
          <w:lang w:val="en-US"/>
        </w:rPr>
        <w:t>:</w:t>
      </w:r>
    </w:p>
    <w:p w14:paraId="3FFC030A" w14:textId="32CCBF17" w:rsidR="00E370AC" w:rsidRDefault="0000223E" w:rsidP="00E370AC">
      <w:r>
        <w:rPr>
          <w:lang w:val="en-US"/>
        </w:rPr>
        <w:t xml:space="preserve">RAN4 has agreed that the </w:t>
      </w:r>
      <w:r w:rsidRPr="0000223E">
        <w:t>existing requirements for TCI state switch delay are applicable for UE-initiated/even-triggered beam management</w:t>
      </w:r>
      <w:r>
        <w:t xml:space="preserve">. </w:t>
      </w:r>
      <w:r w:rsidR="004647EC">
        <w:t>Hence</w:t>
      </w:r>
      <w:r>
        <w:t xml:space="preserve">, we see no need to define a new test case for UEIBM. </w:t>
      </w:r>
    </w:p>
    <w:p w14:paraId="599AFFA8" w14:textId="2CFAD6B2" w:rsidR="00807B75" w:rsidRPr="005C217D" w:rsidRDefault="00F05B2F" w:rsidP="00F05B2F">
      <w:pPr>
        <w:pStyle w:val="RAN4proposal"/>
        <w:rPr>
          <w:lang w:val="en-US"/>
        </w:rPr>
      </w:pPr>
      <w:bookmarkStart w:id="10" w:name="_Toc210397714"/>
      <w:r>
        <w:rPr>
          <w:lang w:val="en-US"/>
        </w:rPr>
        <w:t xml:space="preserve">Since no new </w:t>
      </w:r>
      <w:r w:rsidR="00121A9A">
        <w:rPr>
          <w:lang w:val="en-US"/>
        </w:rPr>
        <w:t>TCI state switch delay requirements have been introduced for UEIBM</w:t>
      </w:r>
      <w:r w:rsidR="00E53B52">
        <w:rPr>
          <w:lang w:val="en-US"/>
        </w:rPr>
        <w:t xml:space="preserve">, </w:t>
      </w:r>
      <w:proofErr w:type="gramStart"/>
      <w:r w:rsidR="00A94670">
        <w:rPr>
          <w:lang w:val="en-US"/>
        </w:rPr>
        <w:t>no</w:t>
      </w:r>
      <w:proofErr w:type="gramEnd"/>
      <w:r w:rsidR="00A94670">
        <w:rPr>
          <w:lang w:val="en-US"/>
        </w:rPr>
        <w:t xml:space="preserve"> need to</w:t>
      </w:r>
      <w:r w:rsidR="00E53B52">
        <w:rPr>
          <w:lang w:val="en-US"/>
        </w:rPr>
        <w:t xml:space="preserve"> define a new test case.</w:t>
      </w:r>
      <w:bookmarkEnd w:id="10"/>
    </w:p>
    <w:p w14:paraId="4E7CF226" w14:textId="40622575" w:rsidR="007566B9" w:rsidRDefault="00D90A58" w:rsidP="00D834E4">
      <w:r>
        <w:t xml:space="preserve">The condition met indicator defined by RAN1 is an optional UE capability and is applicable for the </w:t>
      </w:r>
      <w:r w:rsidR="006A1906">
        <w:t>window-based</w:t>
      </w:r>
      <w:r>
        <w:t xml:space="preserve"> approach only when the number of </w:t>
      </w:r>
      <w:r w:rsidR="00913B08">
        <w:t xml:space="preserve">reported </w:t>
      </w:r>
      <w:r>
        <w:t>beams is greater than 1</w:t>
      </w:r>
      <w:r w:rsidR="006A1906">
        <w:t xml:space="preserve">. Since, this will more likely be a corner case, </w:t>
      </w:r>
      <w:r w:rsidR="00A94670">
        <w:t xml:space="preserve">and </w:t>
      </w:r>
      <w:r w:rsidR="006A1906">
        <w:t>we see no need to define a test case for this scenario.</w:t>
      </w:r>
      <w:r>
        <w:t xml:space="preserve"> </w:t>
      </w:r>
    </w:p>
    <w:p w14:paraId="38357E3B" w14:textId="0E951913" w:rsidR="00C0259D" w:rsidRDefault="00C0259D" w:rsidP="006522B6">
      <w:pPr>
        <w:pStyle w:val="RAN4proposal"/>
      </w:pPr>
      <w:bookmarkStart w:id="11" w:name="_Toc210397715"/>
      <w:r>
        <w:t xml:space="preserve">RAN4 to not define a test case </w:t>
      </w:r>
      <w:r w:rsidR="00B25806">
        <w:t>for the condition met indicator (CMI).</w:t>
      </w:r>
      <w:bookmarkEnd w:id="11"/>
    </w:p>
    <w:p w14:paraId="41C98E78" w14:textId="1043D508" w:rsidR="00A4483B" w:rsidRDefault="00F23922" w:rsidP="00A4483B">
      <w:r>
        <w:t>The table below summaries our view on the test cases that need to be defined for UEIBM.</w:t>
      </w:r>
    </w:p>
    <w:p w14:paraId="15160900" w14:textId="77777777" w:rsidR="00CE2C86" w:rsidRDefault="00CE2C86" w:rsidP="00A4483B"/>
    <w:tbl>
      <w:tblPr>
        <w:tblStyle w:val="TableGrid"/>
        <w:tblpPr w:leftFromText="180" w:rightFromText="180" w:vertAnchor="text" w:horzAnchor="margin" w:tblpXSpec="center" w:tblpY="-61"/>
        <w:tblW w:w="6947" w:type="dxa"/>
        <w:tblLook w:val="04A0" w:firstRow="1" w:lastRow="0" w:firstColumn="1" w:lastColumn="0" w:noHBand="0" w:noVBand="1"/>
      </w:tblPr>
      <w:tblGrid>
        <w:gridCol w:w="3823"/>
        <w:gridCol w:w="3124"/>
      </w:tblGrid>
      <w:tr w:rsidR="0031266C" w14:paraId="31D583DD" w14:textId="77777777" w:rsidTr="00CE2C86">
        <w:trPr>
          <w:trHeight w:val="327"/>
        </w:trPr>
        <w:tc>
          <w:tcPr>
            <w:tcW w:w="3823" w:type="dxa"/>
            <w:tcBorders>
              <w:top w:val="single" w:sz="4" w:space="0" w:color="auto"/>
              <w:left w:val="single" w:sz="4" w:space="0" w:color="auto"/>
              <w:bottom w:val="single" w:sz="4" w:space="0" w:color="auto"/>
              <w:right w:val="single" w:sz="4" w:space="0" w:color="auto"/>
            </w:tcBorders>
          </w:tcPr>
          <w:p w14:paraId="25BBFB61" w14:textId="371033B1" w:rsidR="0031266C" w:rsidRPr="0031266C" w:rsidRDefault="0031266C" w:rsidP="00CE2C86">
            <w:pPr>
              <w:textAlignment w:val="baseline"/>
              <w:rPr>
                <w:b/>
                <w:bCs/>
                <w:lang w:val="en-US"/>
              </w:rPr>
            </w:pPr>
            <w:r w:rsidRPr="0031266C">
              <w:rPr>
                <w:b/>
                <w:bCs/>
                <w:lang w:val="en-US"/>
              </w:rPr>
              <w:lastRenderedPageBreak/>
              <w:t>Test Case</w:t>
            </w:r>
          </w:p>
        </w:tc>
        <w:tc>
          <w:tcPr>
            <w:tcW w:w="3124" w:type="dxa"/>
            <w:tcBorders>
              <w:top w:val="single" w:sz="4" w:space="0" w:color="auto"/>
              <w:left w:val="single" w:sz="4" w:space="0" w:color="auto"/>
              <w:bottom w:val="single" w:sz="4" w:space="0" w:color="auto"/>
              <w:right w:val="single" w:sz="4" w:space="0" w:color="auto"/>
            </w:tcBorders>
          </w:tcPr>
          <w:p w14:paraId="37A78CE8" w14:textId="45D352D1" w:rsidR="0031266C" w:rsidRPr="0031266C" w:rsidRDefault="0031266C" w:rsidP="00CE2C86">
            <w:pPr>
              <w:textAlignment w:val="baseline"/>
              <w:rPr>
                <w:b/>
                <w:bCs/>
                <w:lang w:val="en-US"/>
              </w:rPr>
            </w:pPr>
            <w:r w:rsidRPr="0031266C">
              <w:rPr>
                <w:b/>
                <w:bCs/>
                <w:lang w:val="en-US"/>
              </w:rPr>
              <w:t>Nokia Proposal</w:t>
            </w:r>
          </w:p>
        </w:tc>
      </w:tr>
      <w:tr w:rsidR="00CE2C86" w14:paraId="7AF5563A" w14:textId="77777777" w:rsidTr="00CE2C86">
        <w:trPr>
          <w:trHeight w:val="327"/>
        </w:trPr>
        <w:tc>
          <w:tcPr>
            <w:tcW w:w="3823" w:type="dxa"/>
            <w:tcBorders>
              <w:top w:val="single" w:sz="4" w:space="0" w:color="auto"/>
              <w:left w:val="single" w:sz="4" w:space="0" w:color="auto"/>
              <w:bottom w:val="single" w:sz="4" w:space="0" w:color="auto"/>
              <w:right w:val="single" w:sz="4" w:space="0" w:color="auto"/>
            </w:tcBorders>
            <w:hideMark/>
          </w:tcPr>
          <w:p w14:paraId="46C02FFB" w14:textId="77777777" w:rsidR="00CE2C86" w:rsidRPr="009835EF" w:rsidRDefault="00CE2C86" w:rsidP="00CE2C86">
            <w:pPr>
              <w:textAlignment w:val="baseline"/>
              <w:rPr>
                <w:lang w:val="en-US"/>
              </w:rPr>
            </w:pPr>
            <w:r w:rsidRPr="009835EF">
              <w:rPr>
                <w:lang w:val="en-US"/>
              </w:rPr>
              <w:t xml:space="preserve">High level: Define TCs to verify UEIBM </w:t>
            </w:r>
          </w:p>
        </w:tc>
        <w:tc>
          <w:tcPr>
            <w:tcW w:w="3124" w:type="dxa"/>
            <w:tcBorders>
              <w:top w:val="single" w:sz="4" w:space="0" w:color="auto"/>
              <w:left w:val="single" w:sz="4" w:space="0" w:color="auto"/>
              <w:bottom w:val="single" w:sz="4" w:space="0" w:color="auto"/>
              <w:right w:val="single" w:sz="4" w:space="0" w:color="auto"/>
            </w:tcBorders>
            <w:hideMark/>
          </w:tcPr>
          <w:p w14:paraId="55FD8C1F" w14:textId="77777777" w:rsidR="00CE2C86" w:rsidRPr="009835EF" w:rsidRDefault="00CE2C86" w:rsidP="00CE2C86">
            <w:pPr>
              <w:textAlignment w:val="baseline"/>
              <w:rPr>
                <w:lang w:val="en-US"/>
              </w:rPr>
            </w:pPr>
            <w:r w:rsidRPr="009835EF">
              <w:rPr>
                <w:lang w:val="en-US"/>
              </w:rPr>
              <w:t>Y</w:t>
            </w:r>
          </w:p>
        </w:tc>
      </w:tr>
      <w:tr w:rsidR="00CE2C86" w14:paraId="6434D5CC" w14:textId="77777777" w:rsidTr="00CE2C86">
        <w:trPr>
          <w:trHeight w:val="358"/>
        </w:trPr>
        <w:tc>
          <w:tcPr>
            <w:tcW w:w="3823" w:type="dxa"/>
            <w:tcBorders>
              <w:top w:val="single" w:sz="4" w:space="0" w:color="auto"/>
              <w:left w:val="single" w:sz="4" w:space="0" w:color="auto"/>
              <w:bottom w:val="single" w:sz="4" w:space="0" w:color="auto"/>
              <w:right w:val="single" w:sz="4" w:space="0" w:color="auto"/>
            </w:tcBorders>
            <w:hideMark/>
          </w:tcPr>
          <w:p w14:paraId="30F9EE86" w14:textId="77777777" w:rsidR="00CE2C86" w:rsidRPr="009835EF" w:rsidRDefault="00CE2C86" w:rsidP="00CE2C86">
            <w:pPr>
              <w:textAlignment w:val="baseline"/>
              <w:rPr>
                <w:lang w:val="en-US"/>
              </w:rPr>
            </w:pPr>
            <w:r w:rsidRPr="009835EF">
              <w:rPr>
                <w:lang w:val="en-US"/>
              </w:rPr>
              <w:t>Whether to cover Event-2/Event-1/Event-7?</w:t>
            </w:r>
          </w:p>
        </w:tc>
        <w:tc>
          <w:tcPr>
            <w:tcW w:w="3124" w:type="dxa"/>
            <w:tcBorders>
              <w:top w:val="single" w:sz="4" w:space="0" w:color="auto"/>
              <w:left w:val="single" w:sz="4" w:space="0" w:color="auto"/>
              <w:bottom w:val="single" w:sz="4" w:space="0" w:color="auto"/>
              <w:right w:val="single" w:sz="4" w:space="0" w:color="auto"/>
            </w:tcBorders>
            <w:hideMark/>
          </w:tcPr>
          <w:p w14:paraId="7F406377" w14:textId="77777777" w:rsidR="00CE2C86" w:rsidRPr="009835EF" w:rsidRDefault="00CE2C86" w:rsidP="00CE2C86">
            <w:pPr>
              <w:textAlignment w:val="baseline"/>
              <w:rPr>
                <w:lang w:val="en-US"/>
              </w:rPr>
            </w:pPr>
            <w:r w:rsidRPr="009835EF">
              <w:rPr>
                <w:lang w:val="en-US"/>
              </w:rPr>
              <w:t>Event-2</w:t>
            </w:r>
          </w:p>
        </w:tc>
      </w:tr>
      <w:tr w:rsidR="00CE2C86" w14:paraId="5AAC1B1D" w14:textId="77777777" w:rsidTr="00CE2C86">
        <w:trPr>
          <w:trHeight w:val="274"/>
        </w:trPr>
        <w:tc>
          <w:tcPr>
            <w:tcW w:w="3823" w:type="dxa"/>
            <w:tcBorders>
              <w:top w:val="single" w:sz="4" w:space="0" w:color="auto"/>
              <w:left w:val="single" w:sz="4" w:space="0" w:color="auto"/>
              <w:bottom w:val="single" w:sz="4" w:space="0" w:color="auto"/>
              <w:right w:val="single" w:sz="4" w:space="0" w:color="auto"/>
            </w:tcBorders>
            <w:hideMark/>
          </w:tcPr>
          <w:p w14:paraId="59FADFD4" w14:textId="77777777" w:rsidR="00CE2C86" w:rsidRPr="009835EF" w:rsidRDefault="00CE2C86" w:rsidP="00CE2C86">
            <w:pPr>
              <w:textAlignment w:val="baseline"/>
              <w:rPr>
                <w:lang w:val="en-US"/>
              </w:rPr>
            </w:pPr>
            <w:r w:rsidRPr="009835EF">
              <w:rPr>
                <w:lang w:val="en-US"/>
              </w:rPr>
              <w:t>Whether to cover Mode A and Mode B?</w:t>
            </w:r>
          </w:p>
        </w:tc>
        <w:tc>
          <w:tcPr>
            <w:tcW w:w="3124" w:type="dxa"/>
            <w:tcBorders>
              <w:top w:val="single" w:sz="4" w:space="0" w:color="auto"/>
              <w:left w:val="single" w:sz="4" w:space="0" w:color="auto"/>
              <w:bottom w:val="single" w:sz="4" w:space="0" w:color="auto"/>
              <w:right w:val="single" w:sz="4" w:space="0" w:color="auto"/>
            </w:tcBorders>
            <w:hideMark/>
          </w:tcPr>
          <w:p w14:paraId="0869B75D" w14:textId="03E53496" w:rsidR="00CE2C86" w:rsidRPr="009835EF" w:rsidRDefault="00F13DC8" w:rsidP="00CE2C86">
            <w:pPr>
              <w:textAlignment w:val="baseline"/>
              <w:rPr>
                <w:lang w:val="en-US"/>
              </w:rPr>
            </w:pPr>
            <w:r>
              <w:rPr>
                <w:lang w:val="en-US"/>
              </w:rPr>
              <w:t>Mode A if UE only supports Mode A. Mode A and Mode B if UE also supports Mode B.</w:t>
            </w:r>
          </w:p>
        </w:tc>
      </w:tr>
      <w:tr w:rsidR="00CE2C86" w14:paraId="1DE20265" w14:textId="77777777" w:rsidTr="00CE2C86">
        <w:trPr>
          <w:trHeight w:val="327"/>
        </w:trPr>
        <w:tc>
          <w:tcPr>
            <w:tcW w:w="3823" w:type="dxa"/>
            <w:tcBorders>
              <w:top w:val="single" w:sz="4" w:space="0" w:color="auto"/>
              <w:left w:val="single" w:sz="4" w:space="0" w:color="auto"/>
              <w:bottom w:val="single" w:sz="4" w:space="0" w:color="auto"/>
              <w:right w:val="single" w:sz="4" w:space="0" w:color="auto"/>
            </w:tcBorders>
            <w:hideMark/>
          </w:tcPr>
          <w:p w14:paraId="17990772" w14:textId="77777777" w:rsidR="00CE2C86" w:rsidRPr="009835EF" w:rsidRDefault="00CE2C86" w:rsidP="00CE2C86">
            <w:pPr>
              <w:textAlignment w:val="baseline"/>
              <w:rPr>
                <w:lang w:val="en-US"/>
              </w:rPr>
            </w:pPr>
            <w:r w:rsidRPr="009835EF">
              <w:rPr>
                <w:lang w:val="en-US"/>
              </w:rPr>
              <w:t>Event-trigger for Intra-cell BM for SSB</w:t>
            </w:r>
          </w:p>
        </w:tc>
        <w:tc>
          <w:tcPr>
            <w:tcW w:w="3124" w:type="dxa"/>
            <w:tcBorders>
              <w:top w:val="single" w:sz="4" w:space="0" w:color="auto"/>
              <w:left w:val="single" w:sz="4" w:space="0" w:color="auto"/>
              <w:bottom w:val="single" w:sz="4" w:space="0" w:color="auto"/>
              <w:right w:val="single" w:sz="4" w:space="0" w:color="auto"/>
            </w:tcBorders>
            <w:hideMark/>
          </w:tcPr>
          <w:p w14:paraId="64BF6712" w14:textId="77777777" w:rsidR="00CE2C86" w:rsidRPr="009835EF" w:rsidRDefault="00CE2C86" w:rsidP="00CE2C86">
            <w:pPr>
              <w:textAlignment w:val="baseline"/>
              <w:rPr>
                <w:lang w:val="en-US"/>
              </w:rPr>
            </w:pPr>
            <w:r w:rsidRPr="009835EF">
              <w:rPr>
                <w:lang w:val="en-US"/>
              </w:rPr>
              <w:t>Y</w:t>
            </w:r>
          </w:p>
        </w:tc>
      </w:tr>
      <w:tr w:rsidR="00CE2C86" w14:paraId="4A9FE64E" w14:textId="77777777" w:rsidTr="00CE2C86">
        <w:trPr>
          <w:trHeight w:val="327"/>
        </w:trPr>
        <w:tc>
          <w:tcPr>
            <w:tcW w:w="3823" w:type="dxa"/>
            <w:tcBorders>
              <w:top w:val="single" w:sz="4" w:space="0" w:color="auto"/>
              <w:left w:val="single" w:sz="4" w:space="0" w:color="auto"/>
              <w:bottom w:val="single" w:sz="4" w:space="0" w:color="auto"/>
              <w:right w:val="single" w:sz="4" w:space="0" w:color="auto"/>
            </w:tcBorders>
            <w:hideMark/>
          </w:tcPr>
          <w:p w14:paraId="0282A2E7" w14:textId="77777777" w:rsidR="00CE2C86" w:rsidRPr="009835EF" w:rsidRDefault="00CE2C86" w:rsidP="00CE2C86">
            <w:pPr>
              <w:textAlignment w:val="baseline"/>
              <w:rPr>
                <w:lang w:val="en-US"/>
              </w:rPr>
            </w:pPr>
            <w:r w:rsidRPr="009835EF">
              <w:rPr>
                <w:lang w:val="en-US"/>
              </w:rPr>
              <w:t>Event-trigger for Intra-cell BM for CSI-RS</w:t>
            </w:r>
          </w:p>
        </w:tc>
        <w:tc>
          <w:tcPr>
            <w:tcW w:w="3124" w:type="dxa"/>
            <w:tcBorders>
              <w:top w:val="single" w:sz="4" w:space="0" w:color="auto"/>
              <w:left w:val="single" w:sz="4" w:space="0" w:color="auto"/>
              <w:bottom w:val="single" w:sz="4" w:space="0" w:color="auto"/>
              <w:right w:val="single" w:sz="4" w:space="0" w:color="auto"/>
            </w:tcBorders>
            <w:hideMark/>
          </w:tcPr>
          <w:p w14:paraId="68B032F6" w14:textId="77777777" w:rsidR="00CE2C86" w:rsidRPr="009835EF" w:rsidRDefault="00CE2C86" w:rsidP="00CE2C86">
            <w:pPr>
              <w:textAlignment w:val="baseline"/>
              <w:rPr>
                <w:lang w:val="en-US"/>
              </w:rPr>
            </w:pPr>
            <w:r w:rsidRPr="009835EF">
              <w:rPr>
                <w:lang w:val="en-US"/>
              </w:rPr>
              <w:t>Y</w:t>
            </w:r>
          </w:p>
        </w:tc>
      </w:tr>
      <w:tr w:rsidR="00CE2C86" w14:paraId="6CA353DB" w14:textId="77777777" w:rsidTr="00CE2C86">
        <w:trPr>
          <w:trHeight w:val="314"/>
        </w:trPr>
        <w:tc>
          <w:tcPr>
            <w:tcW w:w="3823" w:type="dxa"/>
            <w:tcBorders>
              <w:top w:val="single" w:sz="4" w:space="0" w:color="auto"/>
              <w:left w:val="single" w:sz="4" w:space="0" w:color="auto"/>
              <w:bottom w:val="single" w:sz="4" w:space="0" w:color="auto"/>
              <w:right w:val="single" w:sz="4" w:space="0" w:color="auto"/>
            </w:tcBorders>
            <w:hideMark/>
          </w:tcPr>
          <w:p w14:paraId="73530E22" w14:textId="77777777" w:rsidR="00CE2C86" w:rsidRPr="009835EF" w:rsidRDefault="00CE2C86" w:rsidP="00CE2C86">
            <w:pPr>
              <w:textAlignment w:val="baseline"/>
              <w:rPr>
                <w:lang w:val="en-US"/>
              </w:rPr>
            </w:pPr>
            <w:r w:rsidRPr="009835EF">
              <w:rPr>
                <w:lang w:val="en-US"/>
              </w:rPr>
              <w:t>Event-trigger for Inter-cell BM for SSB</w:t>
            </w:r>
          </w:p>
        </w:tc>
        <w:tc>
          <w:tcPr>
            <w:tcW w:w="3124" w:type="dxa"/>
            <w:tcBorders>
              <w:top w:val="single" w:sz="4" w:space="0" w:color="auto"/>
              <w:left w:val="single" w:sz="4" w:space="0" w:color="auto"/>
              <w:bottom w:val="single" w:sz="4" w:space="0" w:color="auto"/>
              <w:right w:val="single" w:sz="4" w:space="0" w:color="auto"/>
            </w:tcBorders>
            <w:hideMark/>
          </w:tcPr>
          <w:p w14:paraId="54521959" w14:textId="77777777" w:rsidR="00CE2C86" w:rsidRPr="009835EF" w:rsidRDefault="00CE2C86" w:rsidP="00CE2C86">
            <w:pPr>
              <w:textAlignment w:val="baseline"/>
              <w:rPr>
                <w:lang w:val="en-US"/>
              </w:rPr>
            </w:pPr>
            <w:r w:rsidRPr="009835EF">
              <w:rPr>
                <w:lang w:val="en-US"/>
              </w:rPr>
              <w:t>Y</w:t>
            </w:r>
          </w:p>
        </w:tc>
      </w:tr>
      <w:tr w:rsidR="00CE2C86" w14:paraId="1D1F1CF2" w14:textId="77777777" w:rsidTr="00CE2C86">
        <w:trPr>
          <w:trHeight w:val="327"/>
        </w:trPr>
        <w:tc>
          <w:tcPr>
            <w:tcW w:w="3823" w:type="dxa"/>
            <w:tcBorders>
              <w:top w:val="single" w:sz="4" w:space="0" w:color="auto"/>
              <w:left w:val="single" w:sz="4" w:space="0" w:color="auto"/>
              <w:bottom w:val="single" w:sz="4" w:space="0" w:color="auto"/>
              <w:right w:val="single" w:sz="4" w:space="0" w:color="auto"/>
            </w:tcBorders>
            <w:hideMark/>
          </w:tcPr>
          <w:p w14:paraId="50D4E14F" w14:textId="77777777" w:rsidR="00CE2C86" w:rsidRPr="009835EF" w:rsidRDefault="00CE2C86" w:rsidP="00CE2C86">
            <w:pPr>
              <w:textAlignment w:val="baseline"/>
              <w:rPr>
                <w:lang w:val="en-US"/>
              </w:rPr>
            </w:pPr>
            <w:r w:rsidRPr="009835EF">
              <w:rPr>
                <w:lang w:val="en-US"/>
              </w:rPr>
              <w:t>Event-trigger for Inter-cell BM for CSI-RS</w:t>
            </w:r>
          </w:p>
        </w:tc>
        <w:tc>
          <w:tcPr>
            <w:tcW w:w="3124" w:type="dxa"/>
            <w:tcBorders>
              <w:top w:val="single" w:sz="4" w:space="0" w:color="auto"/>
              <w:left w:val="single" w:sz="4" w:space="0" w:color="auto"/>
              <w:bottom w:val="single" w:sz="4" w:space="0" w:color="auto"/>
              <w:right w:val="single" w:sz="4" w:space="0" w:color="auto"/>
            </w:tcBorders>
            <w:hideMark/>
          </w:tcPr>
          <w:p w14:paraId="11D46B25" w14:textId="52233A34" w:rsidR="00CE2C86" w:rsidRPr="009835EF" w:rsidRDefault="00D35057" w:rsidP="00CE2C86">
            <w:pPr>
              <w:textAlignment w:val="baseline"/>
              <w:rPr>
                <w:lang w:val="en-US"/>
              </w:rPr>
            </w:pPr>
            <w:r>
              <w:rPr>
                <w:lang w:val="en-US"/>
              </w:rPr>
              <w:t>Y</w:t>
            </w:r>
          </w:p>
        </w:tc>
      </w:tr>
      <w:tr w:rsidR="00CE2C86" w14:paraId="38F9568E" w14:textId="77777777" w:rsidTr="00CE2C86">
        <w:trPr>
          <w:trHeight w:val="655"/>
        </w:trPr>
        <w:tc>
          <w:tcPr>
            <w:tcW w:w="3823" w:type="dxa"/>
            <w:tcBorders>
              <w:top w:val="single" w:sz="4" w:space="0" w:color="auto"/>
              <w:left w:val="single" w:sz="4" w:space="0" w:color="auto"/>
              <w:bottom w:val="single" w:sz="4" w:space="0" w:color="auto"/>
              <w:right w:val="single" w:sz="4" w:space="0" w:color="auto"/>
            </w:tcBorders>
            <w:hideMark/>
          </w:tcPr>
          <w:p w14:paraId="4DA633B9" w14:textId="77777777" w:rsidR="00CE2C86" w:rsidRPr="009835EF" w:rsidRDefault="00CE2C86" w:rsidP="00CE2C86">
            <w:pPr>
              <w:textAlignment w:val="baseline"/>
              <w:rPr>
                <w:lang w:val="en-US"/>
              </w:rPr>
            </w:pPr>
            <w:r w:rsidRPr="009835EF">
              <w:rPr>
                <w:lang w:val="en-US"/>
              </w:rPr>
              <w:t>Whether to cover no time window and eventInstanceCount-r19 &gt; 1?</w:t>
            </w:r>
          </w:p>
        </w:tc>
        <w:tc>
          <w:tcPr>
            <w:tcW w:w="3124" w:type="dxa"/>
            <w:tcBorders>
              <w:top w:val="single" w:sz="4" w:space="0" w:color="auto"/>
              <w:left w:val="single" w:sz="4" w:space="0" w:color="auto"/>
              <w:bottom w:val="single" w:sz="4" w:space="0" w:color="auto"/>
              <w:right w:val="single" w:sz="4" w:space="0" w:color="auto"/>
            </w:tcBorders>
            <w:hideMark/>
          </w:tcPr>
          <w:p w14:paraId="7C1B28CE" w14:textId="77777777" w:rsidR="00CE2C86" w:rsidRPr="009835EF" w:rsidRDefault="00CE2C86" w:rsidP="00CE2C86">
            <w:pPr>
              <w:textAlignment w:val="baseline"/>
              <w:rPr>
                <w:lang w:val="en-US"/>
              </w:rPr>
            </w:pPr>
            <w:r w:rsidRPr="009835EF">
              <w:rPr>
                <w:lang w:val="en-US"/>
              </w:rPr>
              <w:t>Y</w:t>
            </w:r>
          </w:p>
        </w:tc>
      </w:tr>
      <w:tr w:rsidR="00CE2C86" w14:paraId="6461255C" w14:textId="77777777" w:rsidTr="00CE2C86">
        <w:trPr>
          <w:trHeight w:val="813"/>
        </w:trPr>
        <w:tc>
          <w:tcPr>
            <w:tcW w:w="3823" w:type="dxa"/>
            <w:tcBorders>
              <w:top w:val="single" w:sz="4" w:space="0" w:color="auto"/>
              <w:left w:val="single" w:sz="4" w:space="0" w:color="auto"/>
              <w:bottom w:val="single" w:sz="4" w:space="0" w:color="auto"/>
              <w:right w:val="single" w:sz="4" w:space="0" w:color="auto"/>
            </w:tcBorders>
            <w:hideMark/>
          </w:tcPr>
          <w:p w14:paraId="23B9AEE4" w14:textId="77777777" w:rsidR="00CE2C86" w:rsidRPr="009835EF" w:rsidRDefault="00CE2C86" w:rsidP="00CE2C86">
            <w:pPr>
              <w:textAlignment w:val="baseline"/>
              <w:rPr>
                <w:lang w:val="en-US"/>
              </w:rPr>
            </w:pPr>
            <w:r w:rsidRPr="009835EF">
              <w:rPr>
                <w:lang w:val="en-US"/>
              </w:rPr>
              <w:t>Beam switching delay for TCI states switching</w:t>
            </w:r>
          </w:p>
        </w:tc>
        <w:tc>
          <w:tcPr>
            <w:tcW w:w="3124" w:type="dxa"/>
            <w:tcBorders>
              <w:top w:val="single" w:sz="4" w:space="0" w:color="auto"/>
              <w:left w:val="single" w:sz="4" w:space="0" w:color="auto"/>
              <w:bottom w:val="single" w:sz="4" w:space="0" w:color="auto"/>
              <w:right w:val="single" w:sz="4" w:space="0" w:color="auto"/>
            </w:tcBorders>
            <w:hideMark/>
          </w:tcPr>
          <w:p w14:paraId="257714AE" w14:textId="5EE42D88" w:rsidR="00CE2C86" w:rsidRPr="009835EF" w:rsidRDefault="009835EF" w:rsidP="00CE2C86">
            <w:pPr>
              <w:textAlignment w:val="baseline"/>
              <w:rPr>
                <w:lang w:val="en-US"/>
              </w:rPr>
            </w:pPr>
            <w:r w:rsidRPr="009835EF">
              <w:rPr>
                <w:lang w:val="en-US"/>
              </w:rPr>
              <w:t>N</w:t>
            </w:r>
          </w:p>
        </w:tc>
      </w:tr>
      <w:tr w:rsidR="00CE2C86" w14:paraId="4B939A9F" w14:textId="77777777" w:rsidTr="00CE2C86">
        <w:trPr>
          <w:trHeight w:val="170"/>
        </w:trPr>
        <w:tc>
          <w:tcPr>
            <w:tcW w:w="3823" w:type="dxa"/>
            <w:tcBorders>
              <w:top w:val="single" w:sz="4" w:space="0" w:color="auto"/>
              <w:left w:val="single" w:sz="4" w:space="0" w:color="auto"/>
              <w:bottom w:val="single" w:sz="4" w:space="0" w:color="auto"/>
              <w:right w:val="single" w:sz="4" w:space="0" w:color="auto"/>
            </w:tcBorders>
            <w:hideMark/>
          </w:tcPr>
          <w:p w14:paraId="0489379F" w14:textId="77777777" w:rsidR="00CE2C86" w:rsidRPr="009835EF" w:rsidRDefault="00CE2C86" w:rsidP="00CE2C86">
            <w:pPr>
              <w:textAlignment w:val="baseline"/>
              <w:rPr>
                <w:lang w:val="en-US"/>
              </w:rPr>
            </w:pPr>
            <w:r w:rsidRPr="009835EF">
              <w:rPr>
                <w:lang w:val="en-US"/>
              </w:rPr>
              <w:t>CMI</w:t>
            </w:r>
          </w:p>
        </w:tc>
        <w:tc>
          <w:tcPr>
            <w:tcW w:w="3124" w:type="dxa"/>
            <w:tcBorders>
              <w:top w:val="single" w:sz="4" w:space="0" w:color="auto"/>
              <w:left w:val="single" w:sz="4" w:space="0" w:color="auto"/>
              <w:bottom w:val="single" w:sz="4" w:space="0" w:color="auto"/>
              <w:right w:val="single" w:sz="4" w:space="0" w:color="auto"/>
            </w:tcBorders>
            <w:hideMark/>
          </w:tcPr>
          <w:p w14:paraId="1F278E87" w14:textId="77777777" w:rsidR="00CE2C86" w:rsidRPr="009835EF" w:rsidRDefault="00CE2C86" w:rsidP="00CE2C86">
            <w:pPr>
              <w:textAlignment w:val="baseline"/>
              <w:rPr>
                <w:lang w:val="en-US"/>
              </w:rPr>
            </w:pPr>
            <w:r w:rsidRPr="009835EF">
              <w:rPr>
                <w:lang w:val="en-US"/>
              </w:rPr>
              <w:t>N</w:t>
            </w:r>
          </w:p>
        </w:tc>
      </w:tr>
    </w:tbl>
    <w:p w14:paraId="4C8A90A3" w14:textId="77777777" w:rsidR="00CE2C86" w:rsidRDefault="00CE2C86" w:rsidP="009F4637">
      <w:pPr>
        <w:rPr>
          <w:lang w:val="en-US"/>
        </w:rPr>
      </w:pPr>
    </w:p>
    <w:p w14:paraId="13939C00" w14:textId="77777777" w:rsidR="00CE2C86" w:rsidRDefault="00CE2C86" w:rsidP="009F4637">
      <w:pPr>
        <w:rPr>
          <w:lang w:val="en-US"/>
        </w:rPr>
      </w:pPr>
    </w:p>
    <w:p w14:paraId="277F4F39" w14:textId="77777777" w:rsidR="00CE2C86" w:rsidRDefault="00CE2C86" w:rsidP="009F4637">
      <w:pPr>
        <w:rPr>
          <w:lang w:val="en-US"/>
        </w:rPr>
      </w:pPr>
    </w:p>
    <w:p w14:paraId="2E6BD2F7" w14:textId="77777777" w:rsidR="00CE2C86" w:rsidRDefault="00CE2C86" w:rsidP="009F4637">
      <w:pPr>
        <w:rPr>
          <w:lang w:val="en-US"/>
        </w:rPr>
      </w:pPr>
    </w:p>
    <w:p w14:paraId="264F0A36" w14:textId="77777777" w:rsidR="00CE2C86" w:rsidRDefault="00CE2C86" w:rsidP="009F4637">
      <w:pPr>
        <w:rPr>
          <w:lang w:val="en-US"/>
        </w:rPr>
      </w:pPr>
    </w:p>
    <w:p w14:paraId="125645E7" w14:textId="77777777" w:rsidR="00CE2C86" w:rsidRDefault="00CE2C86" w:rsidP="009F4637">
      <w:pPr>
        <w:rPr>
          <w:lang w:val="en-US"/>
        </w:rPr>
      </w:pPr>
    </w:p>
    <w:p w14:paraId="5F6205C6" w14:textId="77777777" w:rsidR="00CE2C86" w:rsidRDefault="00CE2C86" w:rsidP="009F4637">
      <w:pPr>
        <w:rPr>
          <w:lang w:val="en-US"/>
        </w:rPr>
      </w:pPr>
    </w:p>
    <w:p w14:paraId="0D8CD1D7" w14:textId="77777777" w:rsidR="00CE2C86" w:rsidRDefault="00CE2C86" w:rsidP="009F4637">
      <w:pPr>
        <w:rPr>
          <w:lang w:val="en-US"/>
        </w:rPr>
      </w:pPr>
    </w:p>
    <w:p w14:paraId="0B6F278C" w14:textId="77777777" w:rsidR="00CE2C86" w:rsidRDefault="00CE2C86" w:rsidP="009F4637">
      <w:pPr>
        <w:rPr>
          <w:lang w:val="en-US"/>
        </w:rPr>
      </w:pPr>
    </w:p>
    <w:p w14:paraId="4F43B4B8" w14:textId="77777777" w:rsidR="00CD7492" w:rsidRPr="008F786B" w:rsidRDefault="00CD7492" w:rsidP="00A37002">
      <w:pPr>
        <w:pStyle w:val="RAN4H1"/>
      </w:pPr>
      <w:bookmarkStart w:id="12" w:name="_Toc116995848"/>
      <w:r w:rsidRPr="008F786B">
        <w:t>Conclusion</w:t>
      </w:r>
      <w:bookmarkEnd w:id="12"/>
    </w:p>
    <w:p w14:paraId="3B35AAC0" w14:textId="77777777" w:rsidR="00381F95" w:rsidRPr="008F786B" w:rsidRDefault="00381F95" w:rsidP="00E57D0B">
      <w:pPr>
        <w:ind w:left="360"/>
      </w:pPr>
      <w:r w:rsidRPr="008F786B">
        <w:t>T</w:t>
      </w:r>
      <w:r w:rsidR="005B4801" w:rsidRPr="008F786B">
        <w:t xml:space="preserve">he following Observations </w:t>
      </w:r>
      <w:r w:rsidR="008B0961" w:rsidRPr="008F786B">
        <w:t>and</w:t>
      </w:r>
      <w:r w:rsidR="005B4801" w:rsidRPr="008F786B">
        <w:t xml:space="preserve"> Proposals were made:</w:t>
      </w:r>
    </w:p>
    <w:p w14:paraId="0ECF78CF" w14:textId="77777777" w:rsidR="004D76F3"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397708" w:history="1">
        <w:r w:rsidR="004D76F3" w:rsidRPr="002913D3">
          <w:rPr>
            <w:rStyle w:val="Hyperlink"/>
            <w:noProof/>
          </w:rPr>
          <w:t>Proposal 1: RAN4 to at least define a test case for Event-2.</w:t>
        </w:r>
      </w:hyperlink>
    </w:p>
    <w:p w14:paraId="485A5B51" w14:textId="77777777" w:rsidR="004D76F3" w:rsidRDefault="004D76F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09" w:history="1">
        <w:r w:rsidRPr="002913D3">
          <w:rPr>
            <w:rStyle w:val="Hyperlink"/>
            <w:noProof/>
          </w:rPr>
          <w:t>Proposal 2: If UE only supports Mode A, UE to be tested with Mode A.</w:t>
        </w:r>
      </w:hyperlink>
    </w:p>
    <w:p w14:paraId="4D6DFC28" w14:textId="77777777" w:rsidR="004D76F3" w:rsidRDefault="004D76F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10" w:history="1">
        <w:r w:rsidRPr="002913D3">
          <w:rPr>
            <w:rStyle w:val="Hyperlink"/>
            <w:noProof/>
          </w:rPr>
          <w:t>Proposal 3: If UE supports both Mode A and Mode B, UE to be tested with both modes.</w:t>
        </w:r>
      </w:hyperlink>
    </w:p>
    <w:p w14:paraId="0F6F5A2F" w14:textId="77777777" w:rsidR="004D76F3" w:rsidRDefault="004D76F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11" w:history="1">
        <w:r w:rsidRPr="002913D3">
          <w:rPr>
            <w:rStyle w:val="Hyperlink"/>
            <w:noProof/>
          </w:rPr>
          <w:t>Proposal 4: Include reporting Mode A and Mode B as test configurations under each UEIBM test. No need to duplicate test cases.</w:t>
        </w:r>
      </w:hyperlink>
    </w:p>
    <w:p w14:paraId="3DE373C6" w14:textId="77777777" w:rsidR="004D76F3" w:rsidRDefault="004D76F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12" w:history="1">
        <w:r w:rsidRPr="002913D3">
          <w:rPr>
            <w:rStyle w:val="Hyperlink"/>
            <w:noProof/>
            <w:lang w:val="en-US"/>
          </w:rPr>
          <w:t>Proposal 5: RAN4 shall define test cases for Event-trigger for intra-cell and inter-cell BM for CSI-RS and SSB based reporting.</w:t>
        </w:r>
      </w:hyperlink>
    </w:p>
    <w:p w14:paraId="59DD3D55" w14:textId="77777777" w:rsidR="004D76F3" w:rsidRDefault="004D76F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13" w:history="1">
        <w:r w:rsidRPr="002913D3">
          <w:rPr>
            <w:rStyle w:val="Hyperlink"/>
            <w:noProof/>
            <w:lang w:val="en-US"/>
          </w:rPr>
          <w:t>Proposal 6: RAN4 to define test cases when eventInstanceCount-r19&gt;1 for SSB and CSI-RS based reporting.</w:t>
        </w:r>
      </w:hyperlink>
    </w:p>
    <w:p w14:paraId="1786CDE2" w14:textId="77777777" w:rsidR="004D76F3" w:rsidRDefault="004D76F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14" w:history="1">
        <w:r w:rsidRPr="002913D3">
          <w:rPr>
            <w:rStyle w:val="Hyperlink"/>
            <w:noProof/>
            <w:lang w:val="en-US"/>
          </w:rPr>
          <w:t>Proposal 7: Since no new TCI state switch delay requirements have been introduced for UEIBM, no need to define a new test case.</w:t>
        </w:r>
      </w:hyperlink>
    </w:p>
    <w:p w14:paraId="29950F13" w14:textId="77777777" w:rsidR="004D76F3" w:rsidRDefault="004D76F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7715" w:history="1">
        <w:r w:rsidRPr="002913D3">
          <w:rPr>
            <w:rStyle w:val="Hyperlink"/>
            <w:noProof/>
          </w:rPr>
          <w:t>Proposal 8: RAN4 to not define a test case for the condition met indicator (CMI).</w:t>
        </w:r>
      </w:hyperlink>
    </w:p>
    <w:p w14:paraId="6F79EFDB" w14:textId="567019AD" w:rsidR="009738D1" w:rsidRPr="009738D1" w:rsidRDefault="00A4355E" w:rsidP="00827F8A">
      <w:pPr>
        <w:ind w:left="360" w:right="-22"/>
      </w:pPr>
      <w:r w:rsidRPr="008F786B">
        <w:fldChar w:fldCharType="end"/>
      </w:r>
    </w:p>
    <w:p w14:paraId="3862FC89" w14:textId="77777777" w:rsidR="000E6524" w:rsidRPr="008F786B" w:rsidRDefault="000E6524" w:rsidP="000E6524">
      <w:pPr>
        <w:pStyle w:val="RAN4H1"/>
        <w:numPr>
          <w:ilvl w:val="0"/>
          <w:numId w:val="0"/>
        </w:numPr>
        <w:ind w:left="360" w:hanging="360"/>
      </w:pPr>
      <w:r w:rsidRPr="008F786B">
        <w:t>References</w:t>
      </w:r>
    </w:p>
    <w:p w14:paraId="7DC4D482" w14:textId="4A5218B1" w:rsidR="00FD2814" w:rsidRDefault="0035115B" w:rsidP="000E6524">
      <w:pPr>
        <w:pStyle w:val="ListParagraph"/>
        <w:numPr>
          <w:ilvl w:val="0"/>
          <w:numId w:val="4"/>
        </w:numPr>
        <w:ind w:right="-22"/>
      </w:pPr>
      <w:bookmarkStart w:id="13" w:name="_Ref114500673"/>
      <w:bookmarkStart w:id="14" w:name="_Ref204081686"/>
      <w:bookmarkStart w:id="15" w:name="_Ref195697377"/>
      <w:bookmarkEnd w:id="13"/>
      <w:r w:rsidRPr="0035115B">
        <w:rPr>
          <w:bCs/>
        </w:rPr>
        <w:t>R4-2509059</w:t>
      </w:r>
      <w:r w:rsidR="00FD2814">
        <w:t>, WF on RRM requirements for NI_MIMO_Ph5_Part1, Samsung</w:t>
      </w:r>
      <w:bookmarkEnd w:id="14"/>
    </w:p>
    <w:bookmarkEnd w:id="15"/>
    <w:p w14:paraId="511C99B9" w14:textId="7A9CFF6A" w:rsidR="009738D1" w:rsidRPr="009738D1" w:rsidRDefault="009738D1" w:rsidP="009738D1">
      <w:pPr>
        <w:tabs>
          <w:tab w:val="left" w:pos="1509"/>
        </w:tabs>
      </w:pPr>
    </w:p>
    <w:sectPr w:rsidR="009738D1" w:rsidRPr="009738D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E6056" w14:textId="77777777" w:rsidR="00F109FF" w:rsidRDefault="00F109FF" w:rsidP="00001C9B">
      <w:pPr>
        <w:spacing w:after="0" w:line="240" w:lineRule="auto"/>
      </w:pPr>
      <w:r>
        <w:separator/>
      </w:r>
    </w:p>
  </w:endnote>
  <w:endnote w:type="continuationSeparator" w:id="0">
    <w:p w14:paraId="6A7DEA84" w14:textId="77777777" w:rsidR="00F109FF" w:rsidRDefault="00F109FF" w:rsidP="00001C9B">
      <w:pPr>
        <w:spacing w:after="0" w:line="240" w:lineRule="auto"/>
      </w:pPr>
      <w:r>
        <w:continuationSeparator/>
      </w:r>
    </w:p>
  </w:endnote>
  <w:endnote w:type="continuationNotice" w:id="1">
    <w:p w14:paraId="7944F4FD" w14:textId="77777777" w:rsidR="00F109FF" w:rsidRDefault="00F109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1D7F" w14:textId="77777777" w:rsidR="00F109FF" w:rsidRDefault="00F109FF" w:rsidP="00001C9B">
      <w:pPr>
        <w:spacing w:after="0" w:line="240" w:lineRule="auto"/>
      </w:pPr>
      <w:r>
        <w:separator/>
      </w:r>
    </w:p>
  </w:footnote>
  <w:footnote w:type="continuationSeparator" w:id="0">
    <w:p w14:paraId="7B10A301" w14:textId="77777777" w:rsidR="00F109FF" w:rsidRDefault="00F109FF" w:rsidP="00001C9B">
      <w:pPr>
        <w:spacing w:after="0" w:line="240" w:lineRule="auto"/>
      </w:pPr>
      <w:r>
        <w:continuationSeparator/>
      </w:r>
    </w:p>
  </w:footnote>
  <w:footnote w:type="continuationNotice" w:id="1">
    <w:p w14:paraId="678FB9DF" w14:textId="77777777" w:rsidR="00F109FF" w:rsidRDefault="00F109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50B56"/>
    <w:multiLevelType w:val="multilevel"/>
    <w:tmpl w:val="117E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67A6B"/>
    <w:multiLevelType w:val="multilevel"/>
    <w:tmpl w:val="4D62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E33273"/>
    <w:multiLevelType w:val="multilevel"/>
    <w:tmpl w:val="64E4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F6380"/>
    <w:multiLevelType w:val="multilevel"/>
    <w:tmpl w:val="F204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9078BF"/>
    <w:multiLevelType w:val="hybridMultilevel"/>
    <w:tmpl w:val="358A62F0"/>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5E7"/>
    <w:multiLevelType w:val="multilevel"/>
    <w:tmpl w:val="5EB826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F5478"/>
    <w:multiLevelType w:val="multilevel"/>
    <w:tmpl w:val="861ECC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EE5880"/>
    <w:multiLevelType w:val="multilevel"/>
    <w:tmpl w:val="BE98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032D1A"/>
    <w:multiLevelType w:val="hybridMultilevel"/>
    <w:tmpl w:val="0A94164E"/>
    <w:lvl w:ilvl="0" w:tplc="7C3EB3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D01A6"/>
    <w:multiLevelType w:val="multilevel"/>
    <w:tmpl w:val="F7DA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795BF7"/>
    <w:multiLevelType w:val="hybridMultilevel"/>
    <w:tmpl w:val="D88AD0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015DA0"/>
    <w:multiLevelType w:val="hybridMultilevel"/>
    <w:tmpl w:val="21E47A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DB5BCD"/>
    <w:multiLevelType w:val="multilevel"/>
    <w:tmpl w:val="4438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841AC1"/>
    <w:multiLevelType w:val="multilevel"/>
    <w:tmpl w:val="13D2C1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366E9F"/>
    <w:multiLevelType w:val="multilevel"/>
    <w:tmpl w:val="56E872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D03E1"/>
    <w:multiLevelType w:val="multilevel"/>
    <w:tmpl w:val="EA08E8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A21D23"/>
    <w:multiLevelType w:val="multilevel"/>
    <w:tmpl w:val="0CF80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2554A6"/>
    <w:multiLevelType w:val="multilevel"/>
    <w:tmpl w:val="5E8C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B569D6"/>
    <w:multiLevelType w:val="multilevel"/>
    <w:tmpl w:val="F39E8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364185"/>
    <w:multiLevelType w:val="multilevel"/>
    <w:tmpl w:val="7F3A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43B9D"/>
    <w:multiLevelType w:val="hybridMultilevel"/>
    <w:tmpl w:val="FDA421E2"/>
    <w:lvl w:ilvl="0" w:tplc="625C00B2">
      <w:start w:val="1"/>
      <w:numFmt w:val="decimal"/>
      <w:pStyle w:val="RAN4Observation"/>
      <w:suff w:val="space"/>
      <w:lvlText w:val="Observation %1:"/>
      <w:lvlJc w:val="left"/>
      <w:pPr>
        <w:ind w:left="-252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22" w15:restartNumberingAfterBreak="0">
    <w:nsid w:val="47305171"/>
    <w:multiLevelType w:val="multilevel"/>
    <w:tmpl w:val="678E1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427E82"/>
    <w:multiLevelType w:val="hybridMultilevel"/>
    <w:tmpl w:val="D63EB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00CE5DC4"/>
    <w:lvl w:ilvl="0" w:tplc="A15006A2">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DA1C5C"/>
    <w:multiLevelType w:val="multilevel"/>
    <w:tmpl w:val="7A08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FE4B60"/>
    <w:multiLevelType w:val="hybridMultilevel"/>
    <w:tmpl w:val="DFF43EC6"/>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75A6C48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91B3940"/>
    <w:multiLevelType w:val="multilevel"/>
    <w:tmpl w:val="13F6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B6B57"/>
    <w:multiLevelType w:val="multilevel"/>
    <w:tmpl w:val="52AAD9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163906"/>
    <w:multiLevelType w:val="multilevel"/>
    <w:tmpl w:val="A1805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C217B"/>
    <w:multiLevelType w:val="multilevel"/>
    <w:tmpl w:val="582E74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24"/>
        <w:szCs w:val="16"/>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0C5190"/>
    <w:multiLevelType w:val="multilevel"/>
    <w:tmpl w:val="7610B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5102C1"/>
    <w:multiLevelType w:val="multilevel"/>
    <w:tmpl w:val="A8C64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742914"/>
    <w:multiLevelType w:val="hybridMultilevel"/>
    <w:tmpl w:val="16BC961C"/>
    <w:lvl w:ilvl="0" w:tplc="7C3EB3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39194E"/>
    <w:multiLevelType w:val="multilevel"/>
    <w:tmpl w:val="E1D40D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254571"/>
    <w:multiLevelType w:val="multilevel"/>
    <w:tmpl w:val="6B24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E72F5C"/>
    <w:multiLevelType w:val="multilevel"/>
    <w:tmpl w:val="107CD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5"/>
  </w:num>
  <w:num w:numId="2" w16cid:durableId="1566528953">
    <w:abstractNumId w:val="24"/>
  </w:num>
  <w:num w:numId="3" w16cid:durableId="1456096507">
    <w:abstractNumId w:val="33"/>
  </w:num>
  <w:num w:numId="4" w16cid:durableId="1659071369">
    <w:abstractNumId w:val="30"/>
  </w:num>
  <w:num w:numId="5" w16cid:durableId="1938362445">
    <w:abstractNumId w:val="21"/>
    <w:lvlOverride w:ilvl="0">
      <w:startOverride w:val="1"/>
    </w:lvlOverride>
  </w:num>
  <w:num w:numId="6" w16cid:durableId="143009612">
    <w:abstractNumId w:val="0"/>
  </w:num>
  <w:num w:numId="7" w16cid:durableId="596183525">
    <w:abstractNumId w:val="24"/>
  </w:num>
  <w:num w:numId="8" w16cid:durableId="1108502768">
    <w:abstractNumId w:val="28"/>
  </w:num>
  <w:num w:numId="9" w16cid:durableId="1433278537">
    <w:abstractNumId w:val="1"/>
  </w:num>
  <w:num w:numId="10" w16cid:durableId="1158419234">
    <w:abstractNumId w:val="10"/>
  </w:num>
  <w:num w:numId="11" w16cid:durableId="868838344">
    <w:abstractNumId w:val="13"/>
  </w:num>
  <w:num w:numId="12" w16cid:durableId="965353977">
    <w:abstractNumId w:val="8"/>
  </w:num>
  <w:num w:numId="13" w16cid:durableId="113795663">
    <w:abstractNumId w:val="23"/>
  </w:num>
  <w:num w:numId="14" w16cid:durableId="352071253">
    <w:abstractNumId w:val="26"/>
  </w:num>
  <w:num w:numId="15" w16cid:durableId="1592809">
    <w:abstractNumId w:val="22"/>
  </w:num>
  <w:num w:numId="16" w16cid:durableId="211424231">
    <w:abstractNumId w:val="4"/>
  </w:num>
  <w:num w:numId="17" w16cid:durableId="1044452727">
    <w:abstractNumId w:val="17"/>
  </w:num>
  <w:num w:numId="18" w16cid:durableId="2055498741">
    <w:abstractNumId w:val="18"/>
  </w:num>
  <w:num w:numId="19" w16cid:durableId="1970626092">
    <w:abstractNumId w:val="38"/>
  </w:num>
  <w:num w:numId="20" w16cid:durableId="1954743498">
    <w:abstractNumId w:val="35"/>
  </w:num>
  <w:num w:numId="21" w16cid:durableId="1700231851">
    <w:abstractNumId w:val="20"/>
  </w:num>
  <w:num w:numId="22" w16cid:durableId="2088190212">
    <w:abstractNumId w:val="3"/>
  </w:num>
  <w:num w:numId="23" w16cid:durableId="726336672">
    <w:abstractNumId w:val="32"/>
  </w:num>
  <w:num w:numId="24" w16cid:durableId="1022437844">
    <w:abstractNumId w:val="39"/>
  </w:num>
  <w:num w:numId="25" w16cid:durableId="353655427">
    <w:abstractNumId w:val="29"/>
  </w:num>
  <w:num w:numId="26" w16cid:durableId="1902212688">
    <w:abstractNumId w:val="19"/>
  </w:num>
  <w:num w:numId="27" w16cid:durableId="164783602">
    <w:abstractNumId w:val="34"/>
  </w:num>
  <w:num w:numId="28" w16cid:durableId="531573693">
    <w:abstractNumId w:val="6"/>
  </w:num>
  <w:num w:numId="29" w16cid:durableId="352920367">
    <w:abstractNumId w:val="16"/>
  </w:num>
  <w:num w:numId="30" w16cid:durableId="869103118">
    <w:abstractNumId w:val="14"/>
  </w:num>
  <w:num w:numId="31" w16cid:durableId="1128203998">
    <w:abstractNumId w:val="31"/>
  </w:num>
  <w:num w:numId="32" w16cid:durableId="1305046279">
    <w:abstractNumId w:val="15"/>
  </w:num>
  <w:num w:numId="33" w16cid:durableId="630982859">
    <w:abstractNumId w:val="7"/>
  </w:num>
  <w:num w:numId="34" w16cid:durableId="1712338326">
    <w:abstractNumId w:val="37"/>
  </w:num>
  <w:num w:numId="35" w16cid:durableId="1155796773">
    <w:abstractNumId w:val="2"/>
  </w:num>
  <w:num w:numId="36" w16cid:durableId="1863126461">
    <w:abstractNumId w:val="36"/>
  </w:num>
  <w:num w:numId="37" w16cid:durableId="148911819">
    <w:abstractNumId w:val="27"/>
  </w:num>
  <w:num w:numId="38" w16cid:durableId="1574196757">
    <w:abstractNumId w:val="5"/>
  </w:num>
  <w:num w:numId="39" w16cid:durableId="1814903772">
    <w:abstractNumId w:val="11"/>
  </w:num>
  <w:num w:numId="40" w16cid:durableId="91711221">
    <w:abstractNumId w:val="9"/>
  </w:num>
  <w:num w:numId="41" w16cid:durableId="1420370456">
    <w:abstractNumId w:val="12"/>
  </w:num>
  <w:num w:numId="42" w16cid:durableId="1599872118">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2EF"/>
    <w:rsid w:val="000005DE"/>
    <w:rsid w:val="00001228"/>
    <w:rsid w:val="00001B04"/>
    <w:rsid w:val="00001C9B"/>
    <w:rsid w:val="0000223E"/>
    <w:rsid w:val="000039FA"/>
    <w:rsid w:val="00003D65"/>
    <w:rsid w:val="00003E20"/>
    <w:rsid w:val="000040DC"/>
    <w:rsid w:val="0000464C"/>
    <w:rsid w:val="00010B59"/>
    <w:rsid w:val="00011784"/>
    <w:rsid w:val="000137C1"/>
    <w:rsid w:val="00013E61"/>
    <w:rsid w:val="000151EF"/>
    <w:rsid w:val="00015C1A"/>
    <w:rsid w:val="0001666E"/>
    <w:rsid w:val="00017267"/>
    <w:rsid w:val="000202D7"/>
    <w:rsid w:val="0002097B"/>
    <w:rsid w:val="00020BD8"/>
    <w:rsid w:val="00022A2F"/>
    <w:rsid w:val="00022C28"/>
    <w:rsid w:val="000238DA"/>
    <w:rsid w:val="000239F5"/>
    <w:rsid w:val="00024B7A"/>
    <w:rsid w:val="00025528"/>
    <w:rsid w:val="00027DCD"/>
    <w:rsid w:val="0003569D"/>
    <w:rsid w:val="0004120C"/>
    <w:rsid w:val="000442E7"/>
    <w:rsid w:val="00044764"/>
    <w:rsid w:val="0004523B"/>
    <w:rsid w:val="00047052"/>
    <w:rsid w:val="000471C9"/>
    <w:rsid w:val="0005184F"/>
    <w:rsid w:val="0005233B"/>
    <w:rsid w:val="00052A1D"/>
    <w:rsid w:val="00054348"/>
    <w:rsid w:val="00056D8B"/>
    <w:rsid w:val="00060744"/>
    <w:rsid w:val="0006116A"/>
    <w:rsid w:val="00061256"/>
    <w:rsid w:val="00061C3C"/>
    <w:rsid w:val="00064C3D"/>
    <w:rsid w:val="00064D15"/>
    <w:rsid w:val="00066BAD"/>
    <w:rsid w:val="00066C08"/>
    <w:rsid w:val="00067EEE"/>
    <w:rsid w:val="00072CCA"/>
    <w:rsid w:val="00074445"/>
    <w:rsid w:val="0007601C"/>
    <w:rsid w:val="00080C88"/>
    <w:rsid w:val="00081082"/>
    <w:rsid w:val="00081544"/>
    <w:rsid w:val="00081D7E"/>
    <w:rsid w:val="000829D4"/>
    <w:rsid w:val="0008446F"/>
    <w:rsid w:val="0008612A"/>
    <w:rsid w:val="00087832"/>
    <w:rsid w:val="0009019D"/>
    <w:rsid w:val="00090E18"/>
    <w:rsid w:val="000918BA"/>
    <w:rsid w:val="00091AF4"/>
    <w:rsid w:val="00093F34"/>
    <w:rsid w:val="00095DCA"/>
    <w:rsid w:val="000A0771"/>
    <w:rsid w:val="000A10BC"/>
    <w:rsid w:val="000A1A99"/>
    <w:rsid w:val="000A2949"/>
    <w:rsid w:val="000A5AD6"/>
    <w:rsid w:val="000A7F53"/>
    <w:rsid w:val="000B0056"/>
    <w:rsid w:val="000B0290"/>
    <w:rsid w:val="000B292D"/>
    <w:rsid w:val="000B63B4"/>
    <w:rsid w:val="000C3725"/>
    <w:rsid w:val="000C3C7B"/>
    <w:rsid w:val="000C6546"/>
    <w:rsid w:val="000D0F93"/>
    <w:rsid w:val="000D12A3"/>
    <w:rsid w:val="000D2BF8"/>
    <w:rsid w:val="000D66FB"/>
    <w:rsid w:val="000E3BEA"/>
    <w:rsid w:val="000E44A7"/>
    <w:rsid w:val="000E6524"/>
    <w:rsid w:val="000E71B1"/>
    <w:rsid w:val="000F26A2"/>
    <w:rsid w:val="000F2D24"/>
    <w:rsid w:val="000F3031"/>
    <w:rsid w:val="000F7844"/>
    <w:rsid w:val="0010104F"/>
    <w:rsid w:val="00101C21"/>
    <w:rsid w:val="00101E54"/>
    <w:rsid w:val="001021FC"/>
    <w:rsid w:val="00104290"/>
    <w:rsid w:val="00106416"/>
    <w:rsid w:val="00107680"/>
    <w:rsid w:val="00110481"/>
    <w:rsid w:val="00110A97"/>
    <w:rsid w:val="001113F0"/>
    <w:rsid w:val="001127C9"/>
    <w:rsid w:val="00113BEE"/>
    <w:rsid w:val="00113EEA"/>
    <w:rsid w:val="00114498"/>
    <w:rsid w:val="00115B88"/>
    <w:rsid w:val="001168FB"/>
    <w:rsid w:val="00121A9A"/>
    <w:rsid w:val="00122024"/>
    <w:rsid w:val="0012323A"/>
    <w:rsid w:val="00123250"/>
    <w:rsid w:val="00126C4E"/>
    <w:rsid w:val="00126CEA"/>
    <w:rsid w:val="00127F5E"/>
    <w:rsid w:val="001304D6"/>
    <w:rsid w:val="00132F6A"/>
    <w:rsid w:val="00133913"/>
    <w:rsid w:val="00134624"/>
    <w:rsid w:val="00137B99"/>
    <w:rsid w:val="00140221"/>
    <w:rsid w:val="0014265E"/>
    <w:rsid w:val="00143D30"/>
    <w:rsid w:val="00143ECC"/>
    <w:rsid w:val="00146CBD"/>
    <w:rsid w:val="001510E2"/>
    <w:rsid w:val="00152426"/>
    <w:rsid w:val="00152D6F"/>
    <w:rsid w:val="00155A48"/>
    <w:rsid w:val="0015642C"/>
    <w:rsid w:val="00157B51"/>
    <w:rsid w:val="001607AF"/>
    <w:rsid w:val="001610B4"/>
    <w:rsid w:val="001616A7"/>
    <w:rsid w:val="00161913"/>
    <w:rsid w:val="00162E62"/>
    <w:rsid w:val="001642FC"/>
    <w:rsid w:val="00164611"/>
    <w:rsid w:val="0016496B"/>
    <w:rsid w:val="00164A62"/>
    <w:rsid w:val="0017181C"/>
    <w:rsid w:val="00172B71"/>
    <w:rsid w:val="001743E2"/>
    <w:rsid w:val="001745F8"/>
    <w:rsid w:val="0017481C"/>
    <w:rsid w:val="00174837"/>
    <w:rsid w:val="00174960"/>
    <w:rsid w:val="001832A1"/>
    <w:rsid w:val="001838CF"/>
    <w:rsid w:val="001840CC"/>
    <w:rsid w:val="001851A1"/>
    <w:rsid w:val="001868EE"/>
    <w:rsid w:val="001876B9"/>
    <w:rsid w:val="001879F5"/>
    <w:rsid w:val="00190654"/>
    <w:rsid w:val="00191B00"/>
    <w:rsid w:val="001935A1"/>
    <w:rsid w:val="001956D8"/>
    <w:rsid w:val="001A08AA"/>
    <w:rsid w:val="001A0EF5"/>
    <w:rsid w:val="001A19F4"/>
    <w:rsid w:val="001A3106"/>
    <w:rsid w:val="001A32C7"/>
    <w:rsid w:val="001A39F1"/>
    <w:rsid w:val="001A3B5A"/>
    <w:rsid w:val="001A3B5F"/>
    <w:rsid w:val="001A3BA4"/>
    <w:rsid w:val="001A3D90"/>
    <w:rsid w:val="001A4029"/>
    <w:rsid w:val="001A44ED"/>
    <w:rsid w:val="001A54DC"/>
    <w:rsid w:val="001A5CFA"/>
    <w:rsid w:val="001A60A1"/>
    <w:rsid w:val="001A6D1F"/>
    <w:rsid w:val="001B1EA8"/>
    <w:rsid w:val="001B262A"/>
    <w:rsid w:val="001B441D"/>
    <w:rsid w:val="001B4674"/>
    <w:rsid w:val="001B5907"/>
    <w:rsid w:val="001B5B93"/>
    <w:rsid w:val="001B7AA0"/>
    <w:rsid w:val="001C3AB8"/>
    <w:rsid w:val="001D2928"/>
    <w:rsid w:val="001D2FA2"/>
    <w:rsid w:val="001D3359"/>
    <w:rsid w:val="001D767F"/>
    <w:rsid w:val="001D7BBA"/>
    <w:rsid w:val="001E019A"/>
    <w:rsid w:val="001E02FC"/>
    <w:rsid w:val="001E0C63"/>
    <w:rsid w:val="001E0D26"/>
    <w:rsid w:val="001E1D05"/>
    <w:rsid w:val="001E1EBD"/>
    <w:rsid w:val="001E2EEA"/>
    <w:rsid w:val="001E30F6"/>
    <w:rsid w:val="001E36B3"/>
    <w:rsid w:val="001E4A1F"/>
    <w:rsid w:val="001E5868"/>
    <w:rsid w:val="001F6CD5"/>
    <w:rsid w:val="0020178D"/>
    <w:rsid w:val="00203AD3"/>
    <w:rsid w:val="0020437B"/>
    <w:rsid w:val="00206563"/>
    <w:rsid w:val="0020705F"/>
    <w:rsid w:val="00211AA5"/>
    <w:rsid w:val="00212AD5"/>
    <w:rsid w:val="00213C63"/>
    <w:rsid w:val="002140CF"/>
    <w:rsid w:val="002142A6"/>
    <w:rsid w:val="002154A2"/>
    <w:rsid w:val="00215600"/>
    <w:rsid w:val="00215BAA"/>
    <w:rsid w:val="00215FD3"/>
    <w:rsid w:val="0021609E"/>
    <w:rsid w:val="00216379"/>
    <w:rsid w:val="00216E72"/>
    <w:rsid w:val="00217597"/>
    <w:rsid w:val="00217EE5"/>
    <w:rsid w:val="00220338"/>
    <w:rsid w:val="00220664"/>
    <w:rsid w:val="00220845"/>
    <w:rsid w:val="00222557"/>
    <w:rsid w:val="00223D63"/>
    <w:rsid w:val="00225381"/>
    <w:rsid w:val="00225469"/>
    <w:rsid w:val="00231490"/>
    <w:rsid w:val="00231CF9"/>
    <w:rsid w:val="00233A21"/>
    <w:rsid w:val="00233BD1"/>
    <w:rsid w:val="0023559D"/>
    <w:rsid w:val="00235C9E"/>
    <w:rsid w:val="00235F5C"/>
    <w:rsid w:val="00236AB6"/>
    <w:rsid w:val="0024218D"/>
    <w:rsid w:val="0024235F"/>
    <w:rsid w:val="00243175"/>
    <w:rsid w:val="002433E2"/>
    <w:rsid w:val="00245CB3"/>
    <w:rsid w:val="0024626A"/>
    <w:rsid w:val="00247752"/>
    <w:rsid w:val="002478B0"/>
    <w:rsid w:val="00250441"/>
    <w:rsid w:val="00250F29"/>
    <w:rsid w:val="00253003"/>
    <w:rsid w:val="002560EE"/>
    <w:rsid w:val="00257E7C"/>
    <w:rsid w:val="00257FA3"/>
    <w:rsid w:val="00260581"/>
    <w:rsid w:val="00260EF3"/>
    <w:rsid w:val="00261C52"/>
    <w:rsid w:val="00262986"/>
    <w:rsid w:val="00262D7D"/>
    <w:rsid w:val="00263429"/>
    <w:rsid w:val="00266249"/>
    <w:rsid w:val="00267310"/>
    <w:rsid w:val="00270A31"/>
    <w:rsid w:val="00271746"/>
    <w:rsid w:val="002760BC"/>
    <w:rsid w:val="00277B56"/>
    <w:rsid w:val="002810BE"/>
    <w:rsid w:val="00282A74"/>
    <w:rsid w:val="00283647"/>
    <w:rsid w:val="00283D1F"/>
    <w:rsid w:val="002849D4"/>
    <w:rsid w:val="0028545B"/>
    <w:rsid w:val="00286526"/>
    <w:rsid w:val="00295E70"/>
    <w:rsid w:val="002A19F5"/>
    <w:rsid w:val="002A292B"/>
    <w:rsid w:val="002A4501"/>
    <w:rsid w:val="002A592A"/>
    <w:rsid w:val="002B0C28"/>
    <w:rsid w:val="002B1074"/>
    <w:rsid w:val="002B128A"/>
    <w:rsid w:val="002B1E84"/>
    <w:rsid w:val="002B26B8"/>
    <w:rsid w:val="002B2F19"/>
    <w:rsid w:val="002B3C23"/>
    <w:rsid w:val="002B4922"/>
    <w:rsid w:val="002B5EDB"/>
    <w:rsid w:val="002B62CF"/>
    <w:rsid w:val="002B62F4"/>
    <w:rsid w:val="002B69F3"/>
    <w:rsid w:val="002C10AB"/>
    <w:rsid w:val="002C155D"/>
    <w:rsid w:val="002C22C3"/>
    <w:rsid w:val="002C2874"/>
    <w:rsid w:val="002C2D19"/>
    <w:rsid w:val="002C35F5"/>
    <w:rsid w:val="002C55DF"/>
    <w:rsid w:val="002C5F4C"/>
    <w:rsid w:val="002D10FA"/>
    <w:rsid w:val="002D10FD"/>
    <w:rsid w:val="002D1607"/>
    <w:rsid w:val="002D241B"/>
    <w:rsid w:val="002D325A"/>
    <w:rsid w:val="002D4662"/>
    <w:rsid w:val="002D4C55"/>
    <w:rsid w:val="002D529E"/>
    <w:rsid w:val="002D5D4C"/>
    <w:rsid w:val="002D6451"/>
    <w:rsid w:val="002D6964"/>
    <w:rsid w:val="002D743C"/>
    <w:rsid w:val="002E11A9"/>
    <w:rsid w:val="002E1A63"/>
    <w:rsid w:val="002E4CC4"/>
    <w:rsid w:val="002E6DED"/>
    <w:rsid w:val="002E79B0"/>
    <w:rsid w:val="002F053D"/>
    <w:rsid w:val="002F3C7D"/>
    <w:rsid w:val="002F455A"/>
    <w:rsid w:val="002F4699"/>
    <w:rsid w:val="002F4E8A"/>
    <w:rsid w:val="002F52C9"/>
    <w:rsid w:val="002F57F9"/>
    <w:rsid w:val="002F5ECA"/>
    <w:rsid w:val="002F66D3"/>
    <w:rsid w:val="0030053D"/>
    <w:rsid w:val="00300956"/>
    <w:rsid w:val="00301874"/>
    <w:rsid w:val="00303FDD"/>
    <w:rsid w:val="003041DD"/>
    <w:rsid w:val="0030438F"/>
    <w:rsid w:val="00307EE8"/>
    <w:rsid w:val="0031266C"/>
    <w:rsid w:val="00312B8E"/>
    <w:rsid w:val="003133D8"/>
    <w:rsid w:val="003156A8"/>
    <w:rsid w:val="00315B90"/>
    <w:rsid w:val="00315CE4"/>
    <w:rsid w:val="00317187"/>
    <w:rsid w:val="00320076"/>
    <w:rsid w:val="003202E8"/>
    <w:rsid w:val="0032246D"/>
    <w:rsid w:val="003238A1"/>
    <w:rsid w:val="0032499A"/>
    <w:rsid w:val="00324AC1"/>
    <w:rsid w:val="00324EDA"/>
    <w:rsid w:val="003257C9"/>
    <w:rsid w:val="0032686B"/>
    <w:rsid w:val="00326B81"/>
    <w:rsid w:val="0032701E"/>
    <w:rsid w:val="00327C45"/>
    <w:rsid w:val="00330177"/>
    <w:rsid w:val="00333294"/>
    <w:rsid w:val="00333297"/>
    <w:rsid w:val="003341F7"/>
    <w:rsid w:val="003360CB"/>
    <w:rsid w:val="0034541D"/>
    <w:rsid w:val="00345E3D"/>
    <w:rsid w:val="00347410"/>
    <w:rsid w:val="0034794E"/>
    <w:rsid w:val="00347FEC"/>
    <w:rsid w:val="003509DF"/>
    <w:rsid w:val="0035115B"/>
    <w:rsid w:val="00352ECF"/>
    <w:rsid w:val="00354018"/>
    <w:rsid w:val="00354455"/>
    <w:rsid w:val="0035638D"/>
    <w:rsid w:val="0035662A"/>
    <w:rsid w:val="00356F45"/>
    <w:rsid w:val="00361C8C"/>
    <w:rsid w:val="00361FE1"/>
    <w:rsid w:val="00363D75"/>
    <w:rsid w:val="0036482C"/>
    <w:rsid w:val="00364D83"/>
    <w:rsid w:val="00366B74"/>
    <w:rsid w:val="00367FF1"/>
    <w:rsid w:val="00371233"/>
    <w:rsid w:val="00374FF8"/>
    <w:rsid w:val="00375B1F"/>
    <w:rsid w:val="003774C0"/>
    <w:rsid w:val="00380091"/>
    <w:rsid w:val="00381B2D"/>
    <w:rsid w:val="00381F95"/>
    <w:rsid w:val="003829D0"/>
    <w:rsid w:val="00384172"/>
    <w:rsid w:val="00386D55"/>
    <w:rsid w:val="00386E3E"/>
    <w:rsid w:val="00387C27"/>
    <w:rsid w:val="0039488C"/>
    <w:rsid w:val="003A1965"/>
    <w:rsid w:val="003A1AF3"/>
    <w:rsid w:val="003A31BC"/>
    <w:rsid w:val="003A369F"/>
    <w:rsid w:val="003A3D6A"/>
    <w:rsid w:val="003A5276"/>
    <w:rsid w:val="003A65A2"/>
    <w:rsid w:val="003A710A"/>
    <w:rsid w:val="003A7B1B"/>
    <w:rsid w:val="003B002E"/>
    <w:rsid w:val="003B1BEE"/>
    <w:rsid w:val="003B2335"/>
    <w:rsid w:val="003B2709"/>
    <w:rsid w:val="003B4297"/>
    <w:rsid w:val="003B4307"/>
    <w:rsid w:val="003B4575"/>
    <w:rsid w:val="003B4974"/>
    <w:rsid w:val="003B4B6D"/>
    <w:rsid w:val="003B659E"/>
    <w:rsid w:val="003B67EF"/>
    <w:rsid w:val="003C00CC"/>
    <w:rsid w:val="003C1180"/>
    <w:rsid w:val="003C275E"/>
    <w:rsid w:val="003C2D5F"/>
    <w:rsid w:val="003C427D"/>
    <w:rsid w:val="003C4ACB"/>
    <w:rsid w:val="003C4FDE"/>
    <w:rsid w:val="003C6ED5"/>
    <w:rsid w:val="003D11DC"/>
    <w:rsid w:val="003D1315"/>
    <w:rsid w:val="003D1482"/>
    <w:rsid w:val="003D2592"/>
    <w:rsid w:val="003D5C25"/>
    <w:rsid w:val="003E02AD"/>
    <w:rsid w:val="003E0972"/>
    <w:rsid w:val="003E58DF"/>
    <w:rsid w:val="003E62E2"/>
    <w:rsid w:val="003E6C6C"/>
    <w:rsid w:val="003E736B"/>
    <w:rsid w:val="003E7A0E"/>
    <w:rsid w:val="003E7A41"/>
    <w:rsid w:val="003E7F4A"/>
    <w:rsid w:val="003F0892"/>
    <w:rsid w:val="003F2E9B"/>
    <w:rsid w:val="003F61D9"/>
    <w:rsid w:val="003F7007"/>
    <w:rsid w:val="00400285"/>
    <w:rsid w:val="00402CC1"/>
    <w:rsid w:val="00403896"/>
    <w:rsid w:val="00404A11"/>
    <w:rsid w:val="00404C4C"/>
    <w:rsid w:val="00404E96"/>
    <w:rsid w:val="0040564F"/>
    <w:rsid w:val="00405AA3"/>
    <w:rsid w:val="00405CCE"/>
    <w:rsid w:val="004060B8"/>
    <w:rsid w:val="00406B89"/>
    <w:rsid w:val="00406DC8"/>
    <w:rsid w:val="004075A3"/>
    <w:rsid w:val="00410C65"/>
    <w:rsid w:val="0041380D"/>
    <w:rsid w:val="0041423F"/>
    <w:rsid w:val="00414761"/>
    <w:rsid w:val="00414A8D"/>
    <w:rsid w:val="00414F81"/>
    <w:rsid w:val="004153C5"/>
    <w:rsid w:val="00416484"/>
    <w:rsid w:val="004176A3"/>
    <w:rsid w:val="00420212"/>
    <w:rsid w:val="00422846"/>
    <w:rsid w:val="00422D4A"/>
    <w:rsid w:val="00425B87"/>
    <w:rsid w:val="00426B9A"/>
    <w:rsid w:val="00430E47"/>
    <w:rsid w:val="00431075"/>
    <w:rsid w:val="0043408C"/>
    <w:rsid w:val="00436A0F"/>
    <w:rsid w:val="00437150"/>
    <w:rsid w:val="0043750A"/>
    <w:rsid w:val="0043770B"/>
    <w:rsid w:val="00441E73"/>
    <w:rsid w:val="00444DEF"/>
    <w:rsid w:val="004459CF"/>
    <w:rsid w:val="0044641C"/>
    <w:rsid w:val="00447577"/>
    <w:rsid w:val="004506F0"/>
    <w:rsid w:val="004508F5"/>
    <w:rsid w:val="00450DAB"/>
    <w:rsid w:val="0045288E"/>
    <w:rsid w:val="0045706A"/>
    <w:rsid w:val="004615AF"/>
    <w:rsid w:val="00462EBF"/>
    <w:rsid w:val="0046462D"/>
    <w:rsid w:val="004647EC"/>
    <w:rsid w:val="0046580F"/>
    <w:rsid w:val="004671A5"/>
    <w:rsid w:val="004676C8"/>
    <w:rsid w:val="00470735"/>
    <w:rsid w:val="004732E9"/>
    <w:rsid w:val="004762A1"/>
    <w:rsid w:val="00481352"/>
    <w:rsid w:val="0048427D"/>
    <w:rsid w:val="00484FC9"/>
    <w:rsid w:val="004854BB"/>
    <w:rsid w:val="00485D36"/>
    <w:rsid w:val="00486A55"/>
    <w:rsid w:val="00486C36"/>
    <w:rsid w:val="0048707B"/>
    <w:rsid w:val="00487FBA"/>
    <w:rsid w:val="00490674"/>
    <w:rsid w:val="00491019"/>
    <w:rsid w:val="0049144E"/>
    <w:rsid w:val="00493655"/>
    <w:rsid w:val="00493B77"/>
    <w:rsid w:val="00493F44"/>
    <w:rsid w:val="00494493"/>
    <w:rsid w:val="00496606"/>
    <w:rsid w:val="00496645"/>
    <w:rsid w:val="004A3B30"/>
    <w:rsid w:val="004A49A1"/>
    <w:rsid w:val="004A49E4"/>
    <w:rsid w:val="004A4E0F"/>
    <w:rsid w:val="004A52D4"/>
    <w:rsid w:val="004A7011"/>
    <w:rsid w:val="004B0ACC"/>
    <w:rsid w:val="004B1870"/>
    <w:rsid w:val="004B19D0"/>
    <w:rsid w:val="004B23BA"/>
    <w:rsid w:val="004B3F25"/>
    <w:rsid w:val="004B57B5"/>
    <w:rsid w:val="004C03C4"/>
    <w:rsid w:val="004C0C76"/>
    <w:rsid w:val="004C2180"/>
    <w:rsid w:val="004C2250"/>
    <w:rsid w:val="004C4008"/>
    <w:rsid w:val="004C6305"/>
    <w:rsid w:val="004D35DC"/>
    <w:rsid w:val="004D437B"/>
    <w:rsid w:val="004D5344"/>
    <w:rsid w:val="004D6F19"/>
    <w:rsid w:val="004D732C"/>
    <w:rsid w:val="004D7441"/>
    <w:rsid w:val="004D76F3"/>
    <w:rsid w:val="004E1BA6"/>
    <w:rsid w:val="004E2CA0"/>
    <w:rsid w:val="004E52F2"/>
    <w:rsid w:val="004E54B5"/>
    <w:rsid w:val="004E5E66"/>
    <w:rsid w:val="004E751F"/>
    <w:rsid w:val="004E7ADB"/>
    <w:rsid w:val="004F0ACA"/>
    <w:rsid w:val="004F15EE"/>
    <w:rsid w:val="004F28D6"/>
    <w:rsid w:val="004F5896"/>
    <w:rsid w:val="00500025"/>
    <w:rsid w:val="00503B4D"/>
    <w:rsid w:val="00504EE9"/>
    <w:rsid w:val="00504EF7"/>
    <w:rsid w:val="00505186"/>
    <w:rsid w:val="00510E33"/>
    <w:rsid w:val="00512448"/>
    <w:rsid w:val="005127CF"/>
    <w:rsid w:val="00512E80"/>
    <w:rsid w:val="0051338B"/>
    <w:rsid w:val="00514E4F"/>
    <w:rsid w:val="00515B3A"/>
    <w:rsid w:val="005201EB"/>
    <w:rsid w:val="00521576"/>
    <w:rsid w:val="00522630"/>
    <w:rsid w:val="00522C4F"/>
    <w:rsid w:val="005250E6"/>
    <w:rsid w:val="005307FE"/>
    <w:rsid w:val="005329F7"/>
    <w:rsid w:val="005338BB"/>
    <w:rsid w:val="00534E68"/>
    <w:rsid w:val="00536450"/>
    <w:rsid w:val="0053701E"/>
    <w:rsid w:val="00540797"/>
    <w:rsid w:val="00542892"/>
    <w:rsid w:val="00542D23"/>
    <w:rsid w:val="00543426"/>
    <w:rsid w:val="0054442C"/>
    <w:rsid w:val="005468D6"/>
    <w:rsid w:val="005501C0"/>
    <w:rsid w:val="00550285"/>
    <w:rsid w:val="005504DB"/>
    <w:rsid w:val="00551CF9"/>
    <w:rsid w:val="00553D8E"/>
    <w:rsid w:val="00554F89"/>
    <w:rsid w:val="00562492"/>
    <w:rsid w:val="005624E0"/>
    <w:rsid w:val="005644A3"/>
    <w:rsid w:val="00565097"/>
    <w:rsid w:val="00566007"/>
    <w:rsid w:val="00572A20"/>
    <w:rsid w:val="00576131"/>
    <w:rsid w:val="005761E6"/>
    <w:rsid w:val="00581618"/>
    <w:rsid w:val="00581E42"/>
    <w:rsid w:val="00582894"/>
    <w:rsid w:val="005836F8"/>
    <w:rsid w:val="00584806"/>
    <w:rsid w:val="00585C4D"/>
    <w:rsid w:val="0058638E"/>
    <w:rsid w:val="0059040F"/>
    <w:rsid w:val="005918FA"/>
    <w:rsid w:val="005923F8"/>
    <w:rsid w:val="00592493"/>
    <w:rsid w:val="00592A86"/>
    <w:rsid w:val="005955D0"/>
    <w:rsid w:val="00595A0C"/>
    <w:rsid w:val="005978CF"/>
    <w:rsid w:val="00597AA1"/>
    <w:rsid w:val="00597B82"/>
    <w:rsid w:val="005A2CD3"/>
    <w:rsid w:val="005A436B"/>
    <w:rsid w:val="005B1FF0"/>
    <w:rsid w:val="005B2B49"/>
    <w:rsid w:val="005B2E52"/>
    <w:rsid w:val="005B3029"/>
    <w:rsid w:val="005B3084"/>
    <w:rsid w:val="005B386D"/>
    <w:rsid w:val="005B4801"/>
    <w:rsid w:val="005B4EAB"/>
    <w:rsid w:val="005B54EA"/>
    <w:rsid w:val="005B5660"/>
    <w:rsid w:val="005B6A45"/>
    <w:rsid w:val="005B6D73"/>
    <w:rsid w:val="005B72FA"/>
    <w:rsid w:val="005C063D"/>
    <w:rsid w:val="005C08DB"/>
    <w:rsid w:val="005C196B"/>
    <w:rsid w:val="005C217D"/>
    <w:rsid w:val="005C23A4"/>
    <w:rsid w:val="005C42AB"/>
    <w:rsid w:val="005C5E0C"/>
    <w:rsid w:val="005C7C9F"/>
    <w:rsid w:val="005C7EFA"/>
    <w:rsid w:val="005D1CDF"/>
    <w:rsid w:val="005D2BB7"/>
    <w:rsid w:val="005D365F"/>
    <w:rsid w:val="005D5336"/>
    <w:rsid w:val="005D6067"/>
    <w:rsid w:val="005D66D9"/>
    <w:rsid w:val="005D6FFE"/>
    <w:rsid w:val="005D7376"/>
    <w:rsid w:val="005E1280"/>
    <w:rsid w:val="005E19D3"/>
    <w:rsid w:val="005E1B29"/>
    <w:rsid w:val="005E29F8"/>
    <w:rsid w:val="005E5428"/>
    <w:rsid w:val="005E61A8"/>
    <w:rsid w:val="005F07AE"/>
    <w:rsid w:val="005F2992"/>
    <w:rsid w:val="005F3721"/>
    <w:rsid w:val="005F4435"/>
    <w:rsid w:val="005F5523"/>
    <w:rsid w:val="005F6419"/>
    <w:rsid w:val="005F6F8C"/>
    <w:rsid w:val="005F71B4"/>
    <w:rsid w:val="005F767C"/>
    <w:rsid w:val="00600571"/>
    <w:rsid w:val="0060186D"/>
    <w:rsid w:val="0060301D"/>
    <w:rsid w:val="00604816"/>
    <w:rsid w:val="006049A7"/>
    <w:rsid w:val="00604F30"/>
    <w:rsid w:val="0060543D"/>
    <w:rsid w:val="00606CC8"/>
    <w:rsid w:val="006079D7"/>
    <w:rsid w:val="006104DD"/>
    <w:rsid w:val="006119A4"/>
    <w:rsid w:val="00611DC1"/>
    <w:rsid w:val="00611DF2"/>
    <w:rsid w:val="00612EAE"/>
    <w:rsid w:val="006130B5"/>
    <w:rsid w:val="0061392D"/>
    <w:rsid w:val="00613EA9"/>
    <w:rsid w:val="00614DD8"/>
    <w:rsid w:val="00615A22"/>
    <w:rsid w:val="00616D92"/>
    <w:rsid w:val="00617400"/>
    <w:rsid w:val="006176A3"/>
    <w:rsid w:val="0062047D"/>
    <w:rsid w:val="006208C6"/>
    <w:rsid w:val="00623FD1"/>
    <w:rsid w:val="006253AA"/>
    <w:rsid w:val="00626A56"/>
    <w:rsid w:val="006272DF"/>
    <w:rsid w:val="00627B11"/>
    <w:rsid w:val="00632CB5"/>
    <w:rsid w:val="00632D29"/>
    <w:rsid w:val="0063402C"/>
    <w:rsid w:val="00635BFF"/>
    <w:rsid w:val="006363C3"/>
    <w:rsid w:val="00640D22"/>
    <w:rsid w:val="0064171D"/>
    <w:rsid w:val="00641FFB"/>
    <w:rsid w:val="006442BC"/>
    <w:rsid w:val="00645D59"/>
    <w:rsid w:val="00647A0A"/>
    <w:rsid w:val="00651D16"/>
    <w:rsid w:val="006522B6"/>
    <w:rsid w:val="00653662"/>
    <w:rsid w:val="00655489"/>
    <w:rsid w:val="00655C5B"/>
    <w:rsid w:val="00656346"/>
    <w:rsid w:val="00657754"/>
    <w:rsid w:val="00657ABB"/>
    <w:rsid w:val="00660457"/>
    <w:rsid w:val="00660872"/>
    <w:rsid w:val="00661459"/>
    <w:rsid w:val="00661CBC"/>
    <w:rsid w:val="00664950"/>
    <w:rsid w:val="006658A1"/>
    <w:rsid w:val="00665B43"/>
    <w:rsid w:val="006674F4"/>
    <w:rsid w:val="00667867"/>
    <w:rsid w:val="006702A8"/>
    <w:rsid w:val="006720EC"/>
    <w:rsid w:val="00674E45"/>
    <w:rsid w:val="00676C10"/>
    <w:rsid w:val="0067773C"/>
    <w:rsid w:val="00680437"/>
    <w:rsid w:val="00680741"/>
    <w:rsid w:val="00682168"/>
    <w:rsid w:val="0068261A"/>
    <w:rsid w:val="00682E8D"/>
    <w:rsid w:val="00682EAE"/>
    <w:rsid w:val="00683220"/>
    <w:rsid w:val="006836AB"/>
    <w:rsid w:val="006843B8"/>
    <w:rsid w:val="00685F4E"/>
    <w:rsid w:val="00687612"/>
    <w:rsid w:val="0068781B"/>
    <w:rsid w:val="00687FA0"/>
    <w:rsid w:val="0069474A"/>
    <w:rsid w:val="00695908"/>
    <w:rsid w:val="006962EF"/>
    <w:rsid w:val="006A1906"/>
    <w:rsid w:val="006A1EC4"/>
    <w:rsid w:val="006A1F54"/>
    <w:rsid w:val="006A22DB"/>
    <w:rsid w:val="006A24FB"/>
    <w:rsid w:val="006A36F9"/>
    <w:rsid w:val="006A3871"/>
    <w:rsid w:val="006A3C11"/>
    <w:rsid w:val="006A7942"/>
    <w:rsid w:val="006B1ED6"/>
    <w:rsid w:val="006B2BDA"/>
    <w:rsid w:val="006B3B57"/>
    <w:rsid w:val="006B4FB1"/>
    <w:rsid w:val="006B57DA"/>
    <w:rsid w:val="006B7010"/>
    <w:rsid w:val="006C022A"/>
    <w:rsid w:val="006C05B1"/>
    <w:rsid w:val="006C20E2"/>
    <w:rsid w:val="006C3095"/>
    <w:rsid w:val="006C49BF"/>
    <w:rsid w:val="006C5EAE"/>
    <w:rsid w:val="006C73CC"/>
    <w:rsid w:val="006C7819"/>
    <w:rsid w:val="006D0CE0"/>
    <w:rsid w:val="006D12AF"/>
    <w:rsid w:val="006D35DF"/>
    <w:rsid w:val="006D4E7E"/>
    <w:rsid w:val="006D6885"/>
    <w:rsid w:val="006D6C51"/>
    <w:rsid w:val="006E02E2"/>
    <w:rsid w:val="006E0902"/>
    <w:rsid w:val="006E1151"/>
    <w:rsid w:val="006E2D16"/>
    <w:rsid w:val="006E31F3"/>
    <w:rsid w:val="006E3C19"/>
    <w:rsid w:val="006E528F"/>
    <w:rsid w:val="006E6311"/>
    <w:rsid w:val="006E66D8"/>
    <w:rsid w:val="006E7973"/>
    <w:rsid w:val="006F057F"/>
    <w:rsid w:val="006F1482"/>
    <w:rsid w:val="006F2F87"/>
    <w:rsid w:val="006F6672"/>
    <w:rsid w:val="006F6BFF"/>
    <w:rsid w:val="006F7916"/>
    <w:rsid w:val="00701D91"/>
    <w:rsid w:val="00702B67"/>
    <w:rsid w:val="00703766"/>
    <w:rsid w:val="00704B20"/>
    <w:rsid w:val="00706599"/>
    <w:rsid w:val="00707F44"/>
    <w:rsid w:val="00710B14"/>
    <w:rsid w:val="00710E75"/>
    <w:rsid w:val="00711162"/>
    <w:rsid w:val="0071133A"/>
    <w:rsid w:val="007128BD"/>
    <w:rsid w:val="00712C6B"/>
    <w:rsid w:val="00713072"/>
    <w:rsid w:val="00713137"/>
    <w:rsid w:val="00713848"/>
    <w:rsid w:val="0071451C"/>
    <w:rsid w:val="007145FF"/>
    <w:rsid w:val="00715B2A"/>
    <w:rsid w:val="00715F2D"/>
    <w:rsid w:val="00716627"/>
    <w:rsid w:val="0071751A"/>
    <w:rsid w:val="007226EC"/>
    <w:rsid w:val="00722AC6"/>
    <w:rsid w:val="00723132"/>
    <w:rsid w:val="007236D2"/>
    <w:rsid w:val="00723BAB"/>
    <w:rsid w:val="00723DA1"/>
    <w:rsid w:val="00725B73"/>
    <w:rsid w:val="00725E9F"/>
    <w:rsid w:val="00726614"/>
    <w:rsid w:val="00731AD1"/>
    <w:rsid w:val="00733764"/>
    <w:rsid w:val="00733B21"/>
    <w:rsid w:val="00733ED2"/>
    <w:rsid w:val="007376A9"/>
    <w:rsid w:val="007376D5"/>
    <w:rsid w:val="00737726"/>
    <w:rsid w:val="00740370"/>
    <w:rsid w:val="0074178C"/>
    <w:rsid w:val="007418A6"/>
    <w:rsid w:val="00741C05"/>
    <w:rsid w:val="007442D3"/>
    <w:rsid w:val="007450F1"/>
    <w:rsid w:val="00746C23"/>
    <w:rsid w:val="0074723E"/>
    <w:rsid w:val="007476C0"/>
    <w:rsid w:val="007476EB"/>
    <w:rsid w:val="00747A4D"/>
    <w:rsid w:val="00751515"/>
    <w:rsid w:val="00751593"/>
    <w:rsid w:val="00752196"/>
    <w:rsid w:val="007535E4"/>
    <w:rsid w:val="00753EDA"/>
    <w:rsid w:val="00755F3E"/>
    <w:rsid w:val="007566B9"/>
    <w:rsid w:val="00760E6D"/>
    <w:rsid w:val="007626B7"/>
    <w:rsid w:val="00763B47"/>
    <w:rsid w:val="00770308"/>
    <w:rsid w:val="007705DF"/>
    <w:rsid w:val="007721AD"/>
    <w:rsid w:val="007758D5"/>
    <w:rsid w:val="00781474"/>
    <w:rsid w:val="0078212B"/>
    <w:rsid w:val="00784DF6"/>
    <w:rsid w:val="00785232"/>
    <w:rsid w:val="007866E0"/>
    <w:rsid w:val="00786A47"/>
    <w:rsid w:val="007873FA"/>
    <w:rsid w:val="007877B8"/>
    <w:rsid w:val="00792737"/>
    <w:rsid w:val="00792F94"/>
    <w:rsid w:val="00793207"/>
    <w:rsid w:val="00793EC5"/>
    <w:rsid w:val="00795309"/>
    <w:rsid w:val="007957ED"/>
    <w:rsid w:val="0079586E"/>
    <w:rsid w:val="00797446"/>
    <w:rsid w:val="007A107E"/>
    <w:rsid w:val="007A2588"/>
    <w:rsid w:val="007A3BD1"/>
    <w:rsid w:val="007B186C"/>
    <w:rsid w:val="007B4B39"/>
    <w:rsid w:val="007B5002"/>
    <w:rsid w:val="007B7F1C"/>
    <w:rsid w:val="007C1696"/>
    <w:rsid w:val="007C179E"/>
    <w:rsid w:val="007C204C"/>
    <w:rsid w:val="007C31B9"/>
    <w:rsid w:val="007C3ED0"/>
    <w:rsid w:val="007C48C4"/>
    <w:rsid w:val="007C5971"/>
    <w:rsid w:val="007C5AA3"/>
    <w:rsid w:val="007C773A"/>
    <w:rsid w:val="007D0C7C"/>
    <w:rsid w:val="007D1482"/>
    <w:rsid w:val="007D2956"/>
    <w:rsid w:val="007D2C44"/>
    <w:rsid w:val="007D4B65"/>
    <w:rsid w:val="007D6E93"/>
    <w:rsid w:val="007E0400"/>
    <w:rsid w:val="007E14F9"/>
    <w:rsid w:val="007E411A"/>
    <w:rsid w:val="007E42DC"/>
    <w:rsid w:val="007E4668"/>
    <w:rsid w:val="007E5D10"/>
    <w:rsid w:val="007E6EF3"/>
    <w:rsid w:val="007E723E"/>
    <w:rsid w:val="007F03AC"/>
    <w:rsid w:val="007F2E80"/>
    <w:rsid w:val="007F54B9"/>
    <w:rsid w:val="007F6D95"/>
    <w:rsid w:val="0080290D"/>
    <w:rsid w:val="00802A1E"/>
    <w:rsid w:val="0080370E"/>
    <w:rsid w:val="00804633"/>
    <w:rsid w:val="00805F8E"/>
    <w:rsid w:val="00806A76"/>
    <w:rsid w:val="008074C3"/>
    <w:rsid w:val="00807B75"/>
    <w:rsid w:val="00811C9D"/>
    <w:rsid w:val="008123E1"/>
    <w:rsid w:val="00812FF8"/>
    <w:rsid w:val="00813BAC"/>
    <w:rsid w:val="00814211"/>
    <w:rsid w:val="00815314"/>
    <w:rsid w:val="00816C80"/>
    <w:rsid w:val="0081797B"/>
    <w:rsid w:val="00817C96"/>
    <w:rsid w:val="00820371"/>
    <w:rsid w:val="008209E4"/>
    <w:rsid w:val="008234D1"/>
    <w:rsid w:val="0082420F"/>
    <w:rsid w:val="00824BB1"/>
    <w:rsid w:val="00825332"/>
    <w:rsid w:val="00825FB1"/>
    <w:rsid w:val="00826380"/>
    <w:rsid w:val="00826660"/>
    <w:rsid w:val="00826C9D"/>
    <w:rsid w:val="008278E6"/>
    <w:rsid w:val="0082796A"/>
    <w:rsid w:val="00827EE0"/>
    <w:rsid w:val="00827F8A"/>
    <w:rsid w:val="008323AE"/>
    <w:rsid w:val="008325DE"/>
    <w:rsid w:val="008333F5"/>
    <w:rsid w:val="008337A8"/>
    <w:rsid w:val="00834E05"/>
    <w:rsid w:val="00835B9E"/>
    <w:rsid w:val="0083707A"/>
    <w:rsid w:val="008374C7"/>
    <w:rsid w:val="00837532"/>
    <w:rsid w:val="00837DF9"/>
    <w:rsid w:val="00841BCD"/>
    <w:rsid w:val="00841D61"/>
    <w:rsid w:val="00843AD7"/>
    <w:rsid w:val="00843B90"/>
    <w:rsid w:val="00847169"/>
    <w:rsid w:val="00847264"/>
    <w:rsid w:val="00850A43"/>
    <w:rsid w:val="00851A8E"/>
    <w:rsid w:val="00851BC8"/>
    <w:rsid w:val="008520A5"/>
    <w:rsid w:val="00852BA9"/>
    <w:rsid w:val="00852D7F"/>
    <w:rsid w:val="0085307F"/>
    <w:rsid w:val="008535A4"/>
    <w:rsid w:val="0085365B"/>
    <w:rsid w:val="00857657"/>
    <w:rsid w:val="008577B7"/>
    <w:rsid w:val="00861340"/>
    <w:rsid w:val="00861405"/>
    <w:rsid w:val="008632CA"/>
    <w:rsid w:val="00865521"/>
    <w:rsid w:val="00865C16"/>
    <w:rsid w:val="008667BA"/>
    <w:rsid w:val="008668DA"/>
    <w:rsid w:val="00867328"/>
    <w:rsid w:val="00867A5B"/>
    <w:rsid w:val="00871B2A"/>
    <w:rsid w:val="00872F37"/>
    <w:rsid w:val="00873B48"/>
    <w:rsid w:val="00874464"/>
    <w:rsid w:val="008818DE"/>
    <w:rsid w:val="0088234A"/>
    <w:rsid w:val="00882520"/>
    <w:rsid w:val="008826C1"/>
    <w:rsid w:val="00882D27"/>
    <w:rsid w:val="00883DFD"/>
    <w:rsid w:val="00887D6F"/>
    <w:rsid w:val="008908F3"/>
    <w:rsid w:val="0089169A"/>
    <w:rsid w:val="0089210C"/>
    <w:rsid w:val="008930B4"/>
    <w:rsid w:val="00893D2E"/>
    <w:rsid w:val="00893D87"/>
    <w:rsid w:val="0089483D"/>
    <w:rsid w:val="0089543E"/>
    <w:rsid w:val="008958D2"/>
    <w:rsid w:val="008A0611"/>
    <w:rsid w:val="008A142B"/>
    <w:rsid w:val="008A1BF7"/>
    <w:rsid w:val="008A357C"/>
    <w:rsid w:val="008A3E88"/>
    <w:rsid w:val="008A46A1"/>
    <w:rsid w:val="008A4EFE"/>
    <w:rsid w:val="008A5B0E"/>
    <w:rsid w:val="008B0961"/>
    <w:rsid w:val="008B13EB"/>
    <w:rsid w:val="008B196C"/>
    <w:rsid w:val="008B2C5C"/>
    <w:rsid w:val="008B37A5"/>
    <w:rsid w:val="008B3AF0"/>
    <w:rsid w:val="008B4E57"/>
    <w:rsid w:val="008B6CBC"/>
    <w:rsid w:val="008B6CF0"/>
    <w:rsid w:val="008B7F58"/>
    <w:rsid w:val="008C00FE"/>
    <w:rsid w:val="008C15AA"/>
    <w:rsid w:val="008C34BB"/>
    <w:rsid w:val="008C384F"/>
    <w:rsid w:val="008C39F7"/>
    <w:rsid w:val="008C3EE4"/>
    <w:rsid w:val="008C58C7"/>
    <w:rsid w:val="008C5A20"/>
    <w:rsid w:val="008C5D28"/>
    <w:rsid w:val="008C73D6"/>
    <w:rsid w:val="008C7DDB"/>
    <w:rsid w:val="008D0B07"/>
    <w:rsid w:val="008D247D"/>
    <w:rsid w:val="008D29D8"/>
    <w:rsid w:val="008D354E"/>
    <w:rsid w:val="008D4F52"/>
    <w:rsid w:val="008D55AC"/>
    <w:rsid w:val="008D6A8C"/>
    <w:rsid w:val="008E2E33"/>
    <w:rsid w:val="008E413C"/>
    <w:rsid w:val="008E632C"/>
    <w:rsid w:val="008E713E"/>
    <w:rsid w:val="008E77FE"/>
    <w:rsid w:val="008F21CE"/>
    <w:rsid w:val="008F2783"/>
    <w:rsid w:val="008F4D86"/>
    <w:rsid w:val="008F709C"/>
    <w:rsid w:val="008F786B"/>
    <w:rsid w:val="008F7EFB"/>
    <w:rsid w:val="008F7FC0"/>
    <w:rsid w:val="0090091A"/>
    <w:rsid w:val="00901564"/>
    <w:rsid w:val="00902F1E"/>
    <w:rsid w:val="0090373B"/>
    <w:rsid w:val="00903842"/>
    <w:rsid w:val="009042BD"/>
    <w:rsid w:val="009046B3"/>
    <w:rsid w:val="00904FE4"/>
    <w:rsid w:val="00906650"/>
    <w:rsid w:val="00906DC4"/>
    <w:rsid w:val="009078ED"/>
    <w:rsid w:val="00910B41"/>
    <w:rsid w:val="00913B08"/>
    <w:rsid w:val="00921883"/>
    <w:rsid w:val="00921FE2"/>
    <w:rsid w:val="009231DD"/>
    <w:rsid w:val="0092516F"/>
    <w:rsid w:val="00926EB6"/>
    <w:rsid w:val="00927740"/>
    <w:rsid w:val="00927F4C"/>
    <w:rsid w:val="00931A94"/>
    <w:rsid w:val="009328DD"/>
    <w:rsid w:val="00936159"/>
    <w:rsid w:val="009406F5"/>
    <w:rsid w:val="00940746"/>
    <w:rsid w:val="00942ECC"/>
    <w:rsid w:val="009444C9"/>
    <w:rsid w:val="00944506"/>
    <w:rsid w:val="0094633C"/>
    <w:rsid w:val="00947013"/>
    <w:rsid w:val="009507FE"/>
    <w:rsid w:val="009509B1"/>
    <w:rsid w:val="00951BFD"/>
    <w:rsid w:val="009521F8"/>
    <w:rsid w:val="009535A7"/>
    <w:rsid w:val="009562CF"/>
    <w:rsid w:val="009570D6"/>
    <w:rsid w:val="00957494"/>
    <w:rsid w:val="00960537"/>
    <w:rsid w:val="009612B5"/>
    <w:rsid w:val="00961501"/>
    <w:rsid w:val="00961657"/>
    <w:rsid w:val="00961719"/>
    <w:rsid w:val="00963449"/>
    <w:rsid w:val="00963E4C"/>
    <w:rsid w:val="00965AC4"/>
    <w:rsid w:val="00966134"/>
    <w:rsid w:val="00966A3B"/>
    <w:rsid w:val="00967640"/>
    <w:rsid w:val="0097245B"/>
    <w:rsid w:val="009738D1"/>
    <w:rsid w:val="00973E7A"/>
    <w:rsid w:val="00977E1D"/>
    <w:rsid w:val="009835EF"/>
    <w:rsid w:val="00983916"/>
    <w:rsid w:val="009841B8"/>
    <w:rsid w:val="0098437A"/>
    <w:rsid w:val="0098540C"/>
    <w:rsid w:val="00985C11"/>
    <w:rsid w:val="00985FAF"/>
    <w:rsid w:val="009879A7"/>
    <w:rsid w:val="00991957"/>
    <w:rsid w:val="0099483B"/>
    <w:rsid w:val="00995D89"/>
    <w:rsid w:val="009964FD"/>
    <w:rsid w:val="009A074A"/>
    <w:rsid w:val="009A0885"/>
    <w:rsid w:val="009A0B22"/>
    <w:rsid w:val="009A1A3A"/>
    <w:rsid w:val="009A2DAE"/>
    <w:rsid w:val="009A32FE"/>
    <w:rsid w:val="009A35CB"/>
    <w:rsid w:val="009A430E"/>
    <w:rsid w:val="009A4823"/>
    <w:rsid w:val="009A4AC3"/>
    <w:rsid w:val="009A4D59"/>
    <w:rsid w:val="009A5B31"/>
    <w:rsid w:val="009B0573"/>
    <w:rsid w:val="009B11E0"/>
    <w:rsid w:val="009B14B6"/>
    <w:rsid w:val="009B1F6A"/>
    <w:rsid w:val="009B2821"/>
    <w:rsid w:val="009B4B84"/>
    <w:rsid w:val="009B7B4B"/>
    <w:rsid w:val="009B7C21"/>
    <w:rsid w:val="009C02A6"/>
    <w:rsid w:val="009C1D45"/>
    <w:rsid w:val="009C30BF"/>
    <w:rsid w:val="009C3899"/>
    <w:rsid w:val="009C4623"/>
    <w:rsid w:val="009C4E0D"/>
    <w:rsid w:val="009C77AD"/>
    <w:rsid w:val="009C7DC3"/>
    <w:rsid w:val="009D21E8"/>
    <w:rsid w:val="009D5164"/>
    <w:rsid w:val="009D5F45"/>
    <w:rsid w:val="009D7BDA"/>
    <w:rsid w:val="009E0911"/>
    <w:rsid w:val="009E3439"/>
    <w:rsid w:val="009E4D26"/>
    <w:rsid w:val="009E4E6E"/>
    <w:rsid w:val="009E5FA9"/>
    <w:rsid w:val="009E6CFA"/>
    <w:rsid w:val="009E795E"/>
    <w:rsid w:val="009E7AC8"/>
    <w:rsid w:val="009F0C46"/>
    <w:rsid w:val="009F186E"/>
    <w:rsid w:val="009F2679"/>
    <w:rsid w:val="009F37E2"/>
    <w:rsid w:val="009F3B94"/>
    <w:rsid w:val="009F3C4C"/>
    <w:rsid w:val="009F3C59"/>
    <w:rsid w:val="009F4637"/>
    <w:rsid w:val="009F4C0A"/>
    <w:rsid w:val="009F5213"/>
    <w:rsid w:val="009F6DB7"/>
    <w:rsid w:val="00A03A1A"/>
    <w:rsid w:val="00A04992"/>
    <w:rsid w:val="00A062F4"/>
    <w:rsid w:val="00A06E20"/>
    <w:rsid w:val="00A10E0C"/>
    <w:rsid w:val="00A1448C"/>
    <w:rsid w:val="00A147AA"/>
    <w:rsid w:val="00A16824"/>
    <w:rsid w:val="00A17210"/>
    <w:rsid w:val="00A17FA6"/>
    <w:rsid w:val="00A20EC7"/>
    <w:rsid w:val="00A21D71"/>
    <w:rsid w:val="00A22ACF"/>
    <w:rsid w:val="00A22B78"/>
    <w:rsid w:val="00A23125"/>
    <w:rsid w:val="00A23A11"/>
    <w:rsid w:val="00A246F7"/>
    <w:rsid w:val="00A25AE5"/>
    <w:rsid w:val="00A25D46"/>
    <w:rsid w:val="00A26442"/>
    <w:rsid w:val="00A30C81"/>
    <w:rsid w:val="00A33FFB"/>
    <w:rsid w:val="00A34273"/>
    <w:rsid w:val="00A35BD5"/>
    <w:rsid w:val="00A36BCF"/>
    <w:rsid w:val="00A36F70"/>
    <w:rsid w:val="00A37002"/>
    <w:rsid w:val="00A37069"/>
    <w:rsid w:val="00A4050B"/>
    <w:rsid w:val="00A407C9"/>
    <w:rsid w:val="00A4179F"/>
    <w:rsid w:val="00A425D2"/>
    <w:rsid w:val="00A42A96"/>
    <w:rsid w:val="00A4355E"/>
    <w:rsid w:val="00A44813"/>
    <w:rsid w:val="00A4483B"/>
    <w:rsid w:val="00A45137"/>
    <w:rsid w:val="00A4557A"/>
    <w:rsid w:val="00A46879"/>
    <w:rsid w:val="00A46C7A"/>
    <w:rsid w:val="00A50A56"/>
    <w:rsid w:val="00A51CA7"/>
    <w:rsid w:val="00A520D9"/>
    <w:rsid w:val="00A52218"/>
    <w:rsid w:val="00A53724"/>
    <w:rsid w:val="00A550E2"/>
    <w:rsid w:val="00A55428"/>
    <w:rsid w:val="00A55D99"/>
    <w:rsid w:val="00A572A8"/>
    <w:rsid w:val="00A60D13"/>
    <w:rsid w:val="00A64DA0"/>
    <w:rsid w:val="00A655F6"/>
    <w:rsid w:val="00A65750"/>
    <w:rsid w:val="00A65AF5"/>
    <w:rsid w:val="00A660B3"/>
    <w:rsid w:val="00A67C6D"/>
    <w:rsid w:val="00A70156"/>
    <w:rsid w:val="00A7276B"/>
    <w:rsid w:val="00A72C09"/>
    <w:rsid w:val="00A74CBB"/>
    <w:rsid w:val="00A766AE"/>
    <w:rsid w:val="00A76927"/>
    <w:rsid w:val="00A8155E"/>
    <w:rsid w:val="00A852A6"/>
    <w:rsid w:val="00A86276"/>
    <w:rsid w:val="00A87535"/>
    <w:rsid w:val="00A87781"/>
    <w:rsid w:val="00A91FA6"/>
    <w:rsid w:val="00A91FA9"/>
    <w:rsid w:val="00A9249A"/>
    <w:rsid w:val="00A92BCD"/>
    <w:rsid w:val="00A938CA"/>
    <w:rsid w:val="00A94670"/>
    <w:rsid w:val="00A94DB1"/>
    <w:rsid w:val="00A96AF8"/>
    <w:rsid w:val="00A96B8C"/>
    <w:rsid w:val="00AA1B0E"/>
    <w:rsid w:val="00AA1D77"/>
    <w:rsid w:val="00AA246C"/>
    <w:rsid w:val="00AA28FA"/>
    <w:rsid w:val="00AA30B6"/>
    <w:rsid w:val="00AA47B6"/>
    <w:rsid w:val="00AA5AD7"/>
    <w:rsid w:val="00AA7718"/>
    <w:rsid w:val="00AA788D"/>
    <w:rsid w:val="00AB13C8"/>
    <w:rsid w:val="00AB1D44"/>
    <w:rsid w:val="00AB300F"/>
    <w:rsid w:val="00AB4C0E"/>
    <w:rsid w:val="00AB5233"/>
    <w:rsid w:val="00AB5FC0"/>
    <w:rsid w:val="00AB6A07"/>
    <w:rsid w:val="00AB7297"/>
    <w:rsid w:val="00AC06C0"/>
    <w:rsid w:val="00AC163B"/>
    <w:rsid w:val="00AC301D"/>
    <w:rsid w:val="00AC3517"/>
    <w:rsid w:val="00AC4AEF"/>
    <w:rsid w:val="00AC55EF"/>
    <w:rsid w:val="00AC590D"/>
    <w:rsid w:val="00AC59DB"/>
    <w:rsid w:val="00AC5CA7"/>
    <w:rsid w:val="00AC6058"/>
    <w:rsid w:val="00AC6F15"/>
    <w:rsid w:val="00AD0D8C"/>
    <w:rsid w:val="00AD1219"/>
    <w:rsid w:val="00AD2464"/>
    <w:rsid w:val="00AD2EFD"/>
    <w:rsid w:val="00AD6B1F"/>
    <w:rsid w:val="00AD7F83"/>
    <w:rsid w:val="00AE00CF"/>
    <w:rsid w:val="00AE2BA5"/>
    <w:rsid w:val="00AE442D"/>
    <w:rsid w:val="00AE4F44"/>
    <w:rsid w:val="00AE50AE"/>
    <w:rsid w:val="00AE56B1"/>
    <w:rsid w:val="00AE6A02"/>
    <w:rsid w:val="00AE6D09"/>
    <w:rsid w:val="00AE7B1E"/>
    <w:rsid w:val="00AF0167"/>
    <w:rsid w:val="00AF0FCD"/>
    <w:rsid w:val="00AF15F3"/>
    <w:rsid w:val="00AF6369"/>
    <w:rsid w:val="00AF7000"/>
    <w:rsid w:val="00AF7A7C"/>
    <w:rsid w:val="00AF7E50"/>
    <w:rsid w:val="00B02070"/>
    <w:rsid w:val="00B0338B"/>
    <w:rsid w:val="00B03E89"/>
    <w:rsid w:val="00B05AB4"/>
    <w:rsid w:val="00B07B33"/>
    <w:rsid w:val="00B10113"/>
    <w:rsid w:val="00B123C4"/>
    <w:rsid w:val="00B1391A"/>
    <w:rsid w:val="00B14DFC"/>
    <w:rsid w:val="00B154CE"/>
    <w:rsid w:val="00B21ADA"/>
    <w:rsid w:val="00B23453"/>
    <w:rsid w:val="00B23D20"/>
    <w:rsid w:val="00B25406"/>
    <w:rsid w:val="00B25806"/>
    <w:rsid w:val="00B25807"/>
    <w:rsid w:val="00B25CDD"/>
    <w:rsid w:val="00B26A8A"/>
    <w:rsid w:val="00B3258C"/>
    <w:rsid w:val="00B32D0B"/>
    <w:rsid w:val="00B3476E"/>
    <w:rsid w:val="00B35915"/>
    <w:rsid w:val="00B35E26"/>
    <w:rsid w:val="00B368DF"/>
    <w:rsid w:val="00B37EFA"/>
    <w:rsid w:val="00B408B6"/>
    <w:rsid w:val="00B4096F"/>
    <w:rsid w:val="00B42567"/>
    <w:rsid w:val="00B42DC1"/>
    <w:rsid w:val="00B43744"/>
    <w:rsid w:val="00B44A1E"/>
    <w:rsid w:val="00B45A21"/>
    <w:rsid w:val="00B46127"/>
    <w:rsid w:val="00B47281"/>
    <w:rsid w:val="00B51027"/>
    <w:rsid w:val="00B51646"/>
    <w:rsid w:val="00B51E41"/>
    <w:rsid w:val="00B53084"/>
    <w:rsid w:val="00B536C1"/>
    <w:rsid w:val="00B53CA7"/>
    <w:rsid w:val="00B542DA"/>
    <w:rsid w:val="00B55B8C"/>
    <w:rsid w:val="00B56AFF"/>
    <w:rsid w:val="00B60C02"/>
    <w:rsid w:val="00B61651"/>
    <w:rsid w:val="00B63C1E"/>
    <w:rsid w:val="00B63C32"/>
    <w:rsid w:val="00B644A6"/>
    <w:rsid w:val="00B657D3"/>
    <w:rsid w:val="00B66B7D"/>
    <w:rsid w:val="00B71205"/>
    <w:rsid w:val="00B71474"/>
    <w:rsid w:val="00B727C8"/>
    <w:rsid w:val="00B73862"/>
    <w:rsid w:val="00B73F43"/>
    <w:rsid w:val="00B74C85"/>
    <w:rsid w:val="00B74DB9"/>
    <w:rsid w:val="00B74E8C"/>
    <w:rsid w:val="00B75BBF"/>
    <w:rsid w:val="00B80C4D"/>
    <w:rsid w:val="00B814EB"/>
    <w:rsid w:val="00B81CDC"/>
    <w:rsid w:val="00B825B5"/>
    <w:rsid w:val="00B83956"/>
    <w:rsid w:val="00B84745"/>
    <w:rsid w:val="00B86422"/>
    <w:rsid w:val="00B86E08"/>
    <w:rsid w:val="00B94966"/>
    <w:rsid w:val="00B955FF"/>
    <w:rsid w:val="00BA11A5"/>
    <w:rsid w:val="00BA273F"/>
    <w:rsid w:val="00BA308C"/>
    <w:rsid w:val="00BA3C18"/>
    <w:rsid w:val="00BA6B66"/>
    <w:rsid w:val="00BA6E48"/>
    <w:rsid w:val="00BA6F45"/>
    <w:rsid w:val="00BA7F0E"/>
    <w:rsid w:val="00BB0973"/>
    <w:rsid w:val="00BB0E54"/>
    <w:rsid w:val="00BB2887"/>
    <w:rsid w:val="00BB36E9"/>
    <w:rsid w:val="00BB46F4"/>
    <w:rsid w:val="00BB5F3E"/>
    <w:rsid w:val="00BB5FAE"/>
    <w:rsid w:val="00BB73E9"/>
    <w:rsid w:val="00BC0F12"/>
    <w:rsid w:val="00BC1ADD"/>
    <w:rsid w:val="00BC1B76"/>
    <w:rsid w:val="00BC27BF"/>
    <w:rsid w:val="00BC2DDB"/>
    <w:rsid w:val="00BC2E8C"/>
    <w:rsid w:val="00BC3455"/>
    <w:rsid w:val="00BC3AA7"/>
    <w:rsid w:val="00BC5866"/>
    <w:rsid w:val="00BC59BC"/>
    <w:rsid w:val="00BC7A0D"/>
    <w:rsid w:val="00BD169B"/>
    <w:rsid w:val="00BD3BCF"/>
    <w:rsid w:val="00BD405F"/>
    <w:rsid w:val="00BD4870"/>
    <w:rsid w:val="00BE0441"/>
    <w:rsid w:val="00BE0AF6"/>
    <w:rsid w:val="00BE1460"/>
    <w:rsid w:val="00BE1F03"/>
    <w:rsid w:val="00BE250B"/>
    <w:rsid w:val="00BE3E83"/>
    <w:rsid w:val="00BE4565"/>
    <w:rsid w:val="00BE4BFF"/>
    <w:rsid w:val="00BE4EA1"/>
    <w:rsid w:val="00BE58A7"/>
    <w:rsid w:val="00BE7649"/>
    <w:rsid w:val="00BE7FE5"/>
    <w:rsid w:val="00BF05A6"/>
    <w:rsid w:val="00BF2198"/>
    <w:rsid w:val="00BF2218"/>
    <w:rsid w:val="00BF3A4B"/>
    <w:rsid w:val="00BF3A6B"/>
    <w:rsid w:val="00BF4D8E"/>
    <w:rsid w:val="00BF5BF0"/>
    <w:rsid w:val="00BF7A10"/>
    <w:rsid w:val="00BF7A29"/>
    <w:rsid w:val="00C00BAC"/>
    <w:rsid w:val="00C01310"/>
    <w:rsid w:val="00C0259D"/>
    <w:rsid w:val="00C02C02"/>
    <w:rsid w:val="00C03319"/>
    <w:rsid w:val="00C0426B"/>
    <w:rsid w:val="00C045DF"/>
    <w:rsid w:val="00C05093"/>
    <w:rsid w:val="00C06B18"/>
    <w:rsid w:val="00C06E4A"/>
    <w:rsid w:val="00C079F4"/>
    <w:rsid w:val="00C1253C"/>
    <w:rsid w:val="00C12B6C"/>
    <w:rsid w:val="00C13871"/>
    <w:rsid w:val="00C154F4"/>
    <w:rsid w:val="00C15C88"/>
    <w:rsid w:val="00C21EC9"/>
    <w:rsid w:val="00C249E8"/>
    <w:rsid w:val="00C24E7C"/>
    <w:rsid w:val="00C25E84"/>
    <w:rsid w:val="00C26D43"/>
    <w:rsid w:val="00C32939"/>
    <w:rsid w:val="00C34878"/>
    <w:rsid w:val="00C35173"/>
    <w:rsid w:val="00C35282"/>
    <w:rsid w:val="00C35AC3"/>
    <w:rsid w:val="00C368D7"/>
    <w:rsid w:val="00C4021D"/>
    <w:rsid w:val="00C40631"/>
    <w:rsid w:val="00C41BD5"/>
    <w:rsid w:val="00C42741"/>
    <w:rsid w:val="00C43C2D"/>
    <w:rsid w:val="00C43F4A"/>
    <w:rsid w:val="00C46548"/>
    <w:rsid w:val="00C46EA0"/>
    <w:rsid w:val="00C46ECE"/>
    <w:rsid w:val="00C474C8"/>
    <w:rsid w:val="00C47E63"/>
    <w:rsid w:val="00C51607"/>
    <w:rsid w:val="00C52A15"/>
    <w:rsid w:val="00C574D5"/>
    <w:rsid w:val="00C6045C"/>
    <w:rsid w:val="00C611A4"/>
    <w:rsid w:val="00C640E2"/>
    <w:rsid w:val="00C66DC1"/>
    <w:rsid w:val="00C73C76"/>
    <w:rsid w:val="00C73F32"/>
    <w:rsid w:val="00C76B47"/>
    <w:rsid w:val="00C77508"/>
    <w:rsid w:val="00C80ED2"/>
    <w:rsid w:val="00C82C32"/>
    <w:rsid w:val="00C83AA7"/>
    <w:rsid w:val="00C846C3"/>
    <w:rsid w:val="00C851E4"/>
    <w:rsid w:val="00C86102"/>
    <w:rsid w:val="00C867FF"/>
    <w:rsid w:val="00C86BF8"/>
    <w:rsid w:val="00C87462"/>
    <w:rsid w:val="00C8779B"/>
    <w:rsid w:val="00C9046E"/>
    <w:rsid w:val="00C927C8"/>
    <w:rsid w:val="00C9367A"/>
    <w:rsid w:val="00C9531A"/>
    <w:rsid w:val="00C9573B"/>
    <w:rsid w:val="00C95C72"/>
    <w:rsid w:val="00CA180C"/>
    <w:rsid w:val="00CA18BB"/>
    <w:rsid w:val="00CA1E31"/>
    <w:rsid w:val="00CA1EA6"/>
    <w:rsid w:val="00CA3E67"/>
    <w:rsid w:val="00CA460E"/>
    <w:rsid w:val="00CA46E1"/>
    <w:rsid w:val="00CA650C"/>
    <w:rsid w:val="00CA69CD"/>
    <w:rsid w:val="00CA6D00"/>
    <w:rsid w:val="00CB1294"/>
    <w:rsid w:val="00CB18C9"/>
    <w:rsid w:val="00CB1CA7"/>
    <w:rsid w:val="00CB1E92"/>
    <w:rsid w:val="00CB22B2"/>
    <w:rsid w:val="00CB36AE"/>
    <w:rsid w:val="00CB3E86"/>
    <w:rsid w:val="00CB7252"/>
    <w:rsid w:val="00CC3EE2"/>
    <w:rsid w:val="00CC64C8"/>
    <w:rsid w:val="00CC7006"/>
    <w:rsid w:val="00CC75E3"/>
    <w:rsid w:val="00CD2FEA"/>
    <w:rsid w:val="00CD3AF8"/>
    <w:rsid w:val="00CD4245"/>
    <w:rsid w:val="00CD67F7"/>
    <w:rsid w:val="00CD6C0E"/>
    <w:rsid w:val="00CD7492"/>
    <w:rsid w:val="00CD7AC0"/>
    <w:rsid w:val="00CD7E1A"/>
    <w:rsid w:val="00CE05B3"/>
    <w:rsid w:val="00CE189D"/>
    <w:rsid w:val="00CE1CDA"/>
    <w:rsid w:val="00CE2C86"/>
    <w:rsid w:val="00CE3258"/>
    <w:rsid w:val="00CE3A6B"/>
    <w:rsid w:val="00CE3B46"/>
    <w:rsid w:val="00CE4AB7"/>
    <w:rsid w:val="00CF3162"/>
    <w:rsid w:val="00CF40C0"/>
    <w:rsid w:val="00CF6EEF"/>
    <w:rsid w:val="00CF7F0D"/>
    <w:rsid w:val="00CF7F12"/>
    <w:rsid w:val="00D00211"/>
    <w:rsid w:val="00D003E1"/>
    <w:rsid w:val="00D006D1"/>
    <w:rsid w:val="00D012EC"/>
    <w:rsid w:val="00D01F1B"/>
    <w:rsid w:val="00D025AE"/>
    <w:rsid w:val="00D02E30"/>
    <w:rsid w:val="00D03B94"/>
    <w:rsid w:val="00D043D5"/>
    <w:rsid w:val="00D06309"/>
    <w:rsid w:val="00D06B36"/>
    <w:rsid w:val="00D06F7A"/>
    <w:rsid w:val="00D11D3D"/>
    <w:rsid w:val="00D122FE"/>
    <w:rsid w:val="00D13B45"/>
    <w:rsid w:val="00D1450C"/>
    <w:rsid w:val="00D15779"/>
    <w:rsid w:val="00D16DF7"/>
    <w:rsid w:val="00D17EE1"/>
    <w:rsid w:val="00D24C39"/>
    <w:rsid w:val="00D3026C"/>
    <w:rsid w:val="00D34276"/>
    <w:rsid w:val="00D35057"/>
    <w:rsid w:val="00D35137"/>
    <w:rsid w:val="00D351EA"/>
    <w:rsid w:val="00D3583E"/>
    <w:rsid w:val="00D40282"/>
    <w:rsid w:val="00D40288"/>
    <w:rsid w:val="00D40506"/>
    <w:rsid w:val="00D40A00"/>
    <w:rsid w:val="00D40E3A"/>
    <w:rsid w:val="00D41B91"/>
    <w:rsid w:val="00D41D2E"/>
    <w:rsid w:val="00D41DB7"/>
    <w:rsid w:val="00D43403"/>
    <w:rsid w:val="00D4464F"/>
    <w:rsid w:val="00D455AD"/>
    <w:rsid w:val="00D45868"/>
    <w:rsid w:val="00D45926"/>
    <w:rsid w:val="00D46BF3"/>
    <w:rsid w:val="00D50A6B"/>
    <w:rsid w:val="00D51DB7"/>
    <w:rsid w:val="00D5270B"/>
    <w:rsid w:val="00D551F3"/>
    <w:rsid w:val="00D559FB"/>
    <w:rsid w:val="00D56381"/>
    <w:rsid w:val="00D57A18"/>
    <w:rsid w:val="00D60046"/>
    <w:rsid w:val="00D61D15"/>
    <w:rsid w:val="00D62E71"/>
    <w:rsid w:val="00D6416A"/>
    <w:rsid w:val="00D6430D"/>
    <w:rsid w:val="00D64EAC"/>
    <w:rsid w:val="00D66188"/>
    <w:rsid w:val="00D67348"/>
    <w:rsid w:val="00D71F59"/>
    <w:rsid w:val="00D72441"/>
    <w:rsid w:val="00D731F6"/>
    <w:rsid w:val="00D740CA"/>
    <w:rsid w:val="00D75DE8"/>
    <w:rsid w:val="00D76663"/>
    <w:rsid w:val="00D77DD0"/>
    <w:rsid w:val="00D816F8"/>
    <w:rsid w:val="00D81813"/>
    <w:rsid w:val="00D82EF1"/>
    <w:rsid w:val="00D834E4"/>
    <w:rsid w:val="00D84383"/>
    <w:rsid w:val="00D85728"/>
    <w:rsid w:val="00D85C7F"/>
    <w:rsid w:val="00D86F49"/>
    <w:rsid w:val="00D8704E"/>
    <w:rsid w:val="00D90088"/>
    <w:rsid w:val="00D90A58"/>
    <w:rsid w:val="00D949EB"/>
    <w:rsid w:val="00D95481"/>
    <w:rsid w:val="00D95AAB"/>
    <w:rsid w:val="00D96192"/>
    <w:rsid w:val="00D96CB4"/>
    <w:rsid w:val="00D96E40"/>
    <w:rsid w:val="00D97B2D"/>
    <w:rsid w:val="00DA0F61"/>
    <w:rsid w:val="00DA2A1C"/>
    <w:rsid w:val="00DA2CD0"/>
    <w:rsid w:val="00DA38C2"/>
    <w:rsid w:val="00DA50B4"/>
    <w:rsid w:val="00DA5326"/>
    <w:rsid w:val="00DA5F75"/>
    <w:rsid w:val="00DB1F7D"/>
    <w:rsid w:val="00DB2C48"/>
    <w:rsid w:val="00DB2CA0"/>
    <w:rsid w:val="00DB2EEF"/>
    <w:rsid w:val="00DB431D"/>
    <w:rsid w:val="00DB786A"/>
    <w:rsid w:val="00DC2555"/>
    <w:rsid w:val="00DC2A1B"/>
    <w:rsid w:val="00DC7A13"/>
    <w:rsid w:val="00DD05DB"/>
    <w:rsid w:val="00DD196D"/>
    <w:rsid w:val="00DD2415"/>
    <w:rsid w:val="00DD2A74"/>
    <w:rsid w:val="00DD346E"/>
    <w:rsid w:val="00DD53EF"/>
    <w:rsid w:val="00DD6820"/>
    <w:rsid w:val="00DD73A5"/>
    <w:rsid w:val="00DE04E6"/>
    <w:rsid w:val="00DE49E1"/>
    <w:rsid w:val="00DE6010"/>
    <w:rsid w:val="00DE7064"/>
    <w:rsid w:val="00DE7995"/>
    <w:rsid w:val="00DF25CA"/>
    <w:rsid w:val="00DF277F"/>
    <w:rsid w:val="00DF2997"/>
    <w:rsid w:val="00DF2DEA"/>
    <w:rsid w:val="00DF2E7C"/>
    <w:rsid w:val="00DF2F43"/>
    <w:rsid w:val="00DF30DF"/>
    <w:rsid w:val="00DF3B07"/>
    <w:rsid w:val="00DF4202"/>
    <w:rsid w:val="00DF4EE2"/>
    <w:rsid w:val="00DF5461"/>
    <w:rsid w:val="00DF5576"/>
    <w:rsid w:val="00DF6C3A"/>
    <w:rsid w:val="00E00230"/>
    <w:rsid w:val="00E07734"/>
    <w:rsid w:val="00E077B6"/>
    <w:rsid w:val="00E07D9C"/>
    <w:rsid w:val="00E10BC4"/>
    <w:rsid w:val="00E116BA"/>
    <w:rsid w:val="00E13AF0"/>
    <w:rsid w:val="00E1415D"/>
    <w:rsid w:val="00E14180"/>
    <w:rsid w:val="00E16503"/>
    <w:rsid w:val="00E213BD"/>
    <w:rsid w:val="00E21B69"/>
    <w:rsid w:val="00E21DB1"/>
    <w:rsid w:val="00E22030"/>
    <w:rsid w:val="00E22DD1"/>
    <w:rsid w:val="00E233D3"/>
    <w:rsid w:val="00E31710"/>
    <w:rsid w:val="00E3220E"/>
    <w:rsid w:val="00E323E9"/>
    <w:rsid w:val="00E324D4"/>
    <w:rsid w:val="00E32FB6"/>
    <w:rsid w:val="00E33732"/>
    <w:rsid w:val="00E34018"/>
    <w:rsid w:val="00E355D1"/>
    <w:rsid w:val="00E363DC"/>
    <w:rsid w:val="00E370AC"/>
    <w:rsid w:val="00E37231"/>
    <w:rsid w:val="00E40470"/>
    <w:rsid w:val="00E41BB7"/>
    <w:rsid w:val="00E437D2"/>
    <w:rsid w:val="00E43BF9"/>
    <w:rsid w:val="00E45709"/>
    <w:rsid w:val="00E465C1"/>
    <w:rsid w:val="00E46C25"/>
    <w:rsid w:val="00E46CB6"/>
    <w:rsid w:val="00E47BC6"/>
    <w:rsid w:val="00E5059C"/>
    <w:rsid w:val="00E50A30"/>
    <w:rsid w:val="00E50E8B"/>
    <w:rsid w:val="00E518D5"/>
    <w:rsid w:val="00E51930"/>
    <w:rsid w:val="00E51C57"/>
    <w:rsid w:val="00E53B52"/>
    <w:rsid w:val="00E54B70"/>
    <w:rsid w:val="00E55751"/>
    <w:rsid w:val="00E5652C"/>
    <w:rsid w:val="00E5681C"/>
    <w:rsid w:val="00E56A3D"/>
    <w:rsid w:val="00E579F1"/>
    <w:rsid w:val="00E57D0B"/>
    <w:rsid w:val="00E623F4"/>
    <w:rsid w:val="00E65861"/>
    <w:rsid w:val="00E67079"/>
    <w:rsid w:val="00E674A5"/>
    <w:rsid w:val="00E67A14"/>
    <w:rsid w:val="00E722E4"/>
    <w:rsid w:val="00E7302A"/>
    <w:rsid w:val="00E73958"/>
    <w:rsid w:val="00E7398E"/>
    <w:rsid w:val="00E7490E"/>
    <w:rsid w:val="00E75BBD"/>
    <w:rsid w:val="00E76F62"/>
    <w:rsid w:val="00E77040"/>
    <w:rsid w:val="00E7780F"/>
    <w:rsid w:val="00E81640"/>
    <w:rsid w:val="00E81772"/>
    <w:rsid w:val="00E82B94"/>
    <w:rsid w:val="00E84475"/>
    <w:rsid w:val="00E85BB4"/>
    <w:rsid w:val="00E8643C"/>
    <w:rsid w:val="00E87125"/>
    <w:rsid w:val="00E87217"/>
    <w:rsid w:val="00E875C2"/>
    <w:rsid w:val="00E903D7"/>
    <w:rsid w:val="00E913A2"/>
    <w:rsid w:val="00E92161"/>
    <w:rsid w:val="00E95534"/>
    <w:rsid w:val="00EA08A5"/>
    <w:rsid w:val="00EA1300"/>
    <w:rsid w:val="00EA2311"/>
    <w:rsid w:val="00EA3029"/>
    <w:rsid w:val="00EA3F93"/>
    <w:rsid w:val="00EA41B9"/>
    <w:rsid w:val="00EA454C"/>
    <w:rsid w:val="00EA6E76"/>
    <w:rsid w:val="00EA78F2"/>
    <w:rsid w:val="00EA7A8B"/>
    <w:rsid w:val="00EA7D58"/>
    <w:rsid w:val="00EB2501"/>
    <w:rsid w:val="00EB3B54"/>
    <w:rsid w:val="00EC064F"/>
    <w:rsid w:val="00EC15EF"/>
    <w:rsid w:val="00EC3E45"/>
    <w:rsid w:val="00EC3EBE"/>
    <w:rsid w:val="00EC7BC3"/>
    <w:rsid w:val="00ED026F"/>
    <w:rsid w:val="00ED0AC7"/>
    <w:rsid w:val="00ED4EB4"/>
    <w:rsid w:val="00ED52B3"/>
    <w:rsid w:val="00ED7600"/>
    <w:rsid w:val="00EE377A"/>
    <w:rsid w:val="00EE3857"/>
    <w:rsid w:val="00EE3EFA"/>
    <w:rsid w:val="00EE4596"/>
    <w:rsid w:val="00EE69D7"/>
    <w:rsid w:val="00EE7BD6"/>
    <w:rsid w:val="00EE7EAF"/>
    <w:rsid w:val="00EF146A"/>
    <w:rsid w:val="00EF2DCE"/>
    <w:rsid w:val="00EF3EB8"/>
    <w:rsid w:val="00EF567D"/>
    <w:rsid w:val="00EF6073"/>
    <w:rsid w:val="00EF698B"/>
    <w:rsid w:val="00F003E1"/>
    <w:rsid w:val="00F020C4"/>
    <w:rsid w:val="00F04328"/>
    <w:rsid w:val="00F046E6"/>
    <w:rsid w:val="00F05094"/>
    <w:rsid w:val="00F05B2F"/>
    <w:rsid w:val="00F07576"/>
    <w:rsid w:val="00F109FF"/>
    <w:rsid w:val="00F10D4E"/>
    <w:rsid w:val="00F10EF2"/>
    <w:rsid w:val="00F1362C"/>
    <w:rsid w:val="00F13DC8"/>
    <w:rsid w:val="00F14794"/>
    <w:rsid w:val="00F148F3"/>
    <w:rsid w:val="00F218FA"/>
    <w:rsid w:val="00F2245F"/>
    <w:rsid w:val="00F22852"/>
    <w:rsid w:val="00F23922"/>
    <w:rsid w:val="00F241E6"/>
    <w:rsid w:val="00F301C9"/>
    <w:rsid w:val="00F30364"/>
    <w:rsid w:val="00F308A1"/>
    <w:rsid w:val="00F30CA9"/>
    <w:rsid w:val="00F317B3"/>
    <w:rsid w:val="00F34210"/>
    <w:rsid w:val="00F36B93"/>
    <w:rsid w:val="00F401FB"/>
    <w:rsid w:val="00F414F1"/>
    <w:rsid w:val="00F415A8"/>
    <w:rsid w:val="00F41EA2"/>
    <w:rsid w:val="00F4245B"/>
    <w:rsid w:val="00F4301E"/>
    <w:rsid w:val="00F469B0"/>
    <w:rsid w:val="00F508B8"/>
    <w:rsid w:val="00F50D2B"/>
    <w:rsid w:val="00F510CC"/>
    <w:rsid w:val="00F51327"/>
    <w:rsid w:val="00F51C6D"/>
    <w:rsid w:val="00F52516"/>
    <w:rsid w:val="00F5404A"/>
    <w:rsid w:val="00F547AB"/>
    <w:rsid w:val="00F55064"/>
    <w:rsid w:val="00F56390"/>
    <w:rsid w:val="00F572B3"/>
    <w:rsid w:val="00F57AA6"/>
    <w:rsid w:val="00F625F3"/>
    <w:rsid w:val="00F63778"/>
    <w:rsid w:val="00F63D7B"/>
    <w:rsid w:val="00F655B6"/>
    <w:rsid w:val="00F67B6B"/>
    <w:rsid w:val="00F72CB1"/>
    <w:rsid w:val="00F72F7C"/>
    <w:rsid w:val="00F8215E"/>
    <w:rsid w:val="00F824F5"/>
    <w:rsid w:val="00F8254B"/>
    <w:rsid w:val="00F841AA"/>
    <w:rsid w:val="00F8768B"/>
    <w:rsid w:val="00F90516"/>
    <w:rsid w:val="00F90FAB"/>
    <w:rsid w:val="00F9239D"/>
    <w:rsid w:val="00F9353B"/>
    <w:rsid w:val="00F9374D"/>
    <w:rsid w:val="00F95E30"/>
    <w:rsid w:val="00F97B97"/>
    <w:rsid w:val="00FA0EA1"/>
    <w:rsid w:val="00FA3B70"/>
    <w:rsid w:val="00FA4E07"/>
    <w:rsid w:val="00FA5933"/>
    <w:rsid w:val="00FA7B2E"/>
    <w:rsid w:val="00FA7FD1"/>
    <w:rsid w:val="00FB1407"/>
    <w:rsid w:val="00FB15C7"/>
    <w:rsid w:val="00FB2534"/>
    <w:rsid w:val="00FB3230"/>
    <w:rsid w:val="00FB357A"/>
    <w:rsid w:val="00FB6924"/>
    <w:rsid w:val="00FC0E08"/>
    <w:rsid w:val="00FC26A8"/>
    <w:rsid w:val="00FC2870"/>
    <w:rsid w:val="00FC29B9"/>
    <w:rsid w:val="00FC46FA"/>
    <w:rsid w:val="00FC65E8"/>
    <w:rsid w:val="00FC6AFA"/>
    <w:rsid w:val="00FC6FD3"/>
    <w:rsid w:val="00FC74A8"/>
    <w:rsid w:val="00FD08BA"/>
    <w:rsid w:val="00FD2814"/>
    <w:rsid w:val="00FD43EF"/>
    <w:rsid w:val="00FD4975"/>
    <w:rsid w:val="00FE181B"/>
    <w:rsid w:val="00FE1DC1"/>
    <w:rsid w:val="00FE1E5E"/>
    <w:rsid w:val="00FE2519"/>
    <w:rsid w:val="00FE305C"/>
    <w:rsid w:val="00FE3495"/>
    <w:rsid w:val="00FE361E"/>
    <w:rsid w:val="00FE6927"/>
    <w:rsid w:val="00FE7398"/>
    <w:rsid w:val="00FE762D"/>
    <w:rsid w:val="00FF0301"/>
    <w:rsid w:val="00FF3686"/>
    <w:rsid w:val="00FF4854"/>
    <w:rsid w:val="00FF4AD2"/>
    <w:rsid w:val="00FF62C0"/>
    <w:rsid w:val="00FF75D4"/>
    <w:rsid w:val="00FF7E15"/>
    <w:rsid w:val="01121048"/>
    <w:rsid w:val="04B8C84C"/>
    <w:rsid w:val="15438BDF"/>
    <w:rsid w:val="1690C426"/>
    <w:rsid w:val="1CC555EF"/>
    <w:rsid w:val="1D15D29A"/>
    <w:rsid w:val="2063DEA5"/>
    <w:rsid w:val="22729219"/>
    <w:rsid w:val="23E7FB23"/>
    <w:rsid w:val="36FD4CF7"/>
    <w:rsid w:val="375B0163"/>
    <w:rsid w:val="4665FC36"/>
    <w:rsid w:val="47865D91"/>
    <w:rsid w:val="4A77645D"/>
    <w:rsid w:val="4EA3B23D"/>
    <w:rsid w:val="594BA891"/>
    <w:rsid w:val="5FE876DF"/>
    <w:rsid w:val="6721F075"/>
    <w:rsid w:val="680A56B8"/>
    <w:rsid w:val="6B6B9907"/>
    <w:rsid w:val="71A33BAA"/>
    <w:rsid w:val="765EC8EA"/>
    <w:rsid w:val="7D03FE55"/>
    <w:rsid w:val="7D6565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2E5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B6D73"/>
    <w:pPr>
      <w:ind w:left="360"/>
    </w:pPr>
  </w:style>
  <w:style w:type="character" w:customStyle="1" w:styleId="RAN4observationChar0">
    <w:name w:val="RAN4 observation Char"/>
    <w:basedOn w:val="RAN4ObservationChar"/>
    <w:link w:val="RAN4observation0"/>
    <w:rsid w:val="005B6D7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9046E"/>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F4C0A"/>
    <w:rPr>
      <w:color w:val="2B579A"/>
      <w:shd w:val="clear" w:color="auto" w:fill="E1DFDD"/>
    </w:rPr>
  </w:style>
  <w:style w:type="paragraph" w:styleId="NormalWeb">
    <w:name w:val="Normal (Web)"/>
    <w:basedOn w:val="Normal"/>
    <w:uiPriority w:val="99"/>
    <w:semiHidden/>
    <w:unhideWhenUsed/>
    <w:rsid w:val="00493B77"/>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37500">
      <w:bodyDiv w:val="1"/>
      <w:marLeft w:val="0"/>
      <w:marRight w:val="0"/>
      <w:marTop w:val="0"/>
      <w:marBottom w:val="0"/>
      <w:divBdr>
        <w:top w:val="none" w:sz="0" w:space="0" w:color="auto"/>
        <w:left w:val="none" w:sz="0" w:space="0" w:color="auto"/>
        <w:bottom w:val="none" w:sz="0" w:space="0" w:color="auto"/>
        <w:right w:val="none" w:sz="0" w:space="0" w:color="auto"/>
      </w:divBdr>
    </w:div>
    <w:div w:id="250699165">
      <w:bodyDiv w:val="1"/>
      <w:marLeft w:val="0"/>
      <w:marRight w:val="0"/>
      <w:marTop w:val="0"/>
      <w:marBottom w:val="0"/>
      <w:divBdr>
        <w:top w:val="none" w:sz="0" w:space="0" w:color="auto"/>
        <w:left w:val="none" w:sz="0" w:space="0" w:color="auto"/>
        <w:bottom w:val="none" w:sz="0" w:space="0" w:color="auto"/>
        <w:right w:val="none" w:sz="0" w:space="0" w:color="auto"/>
      </w:divBdr>
    </w:div>
    <w:div w:id="282544311">
      <w:bodyDiv w:val="1"/>
      <w:marLeft w:val="0"/>
      <w:marRight w:val="0"/>
      <w:marTop w:val="0"/>
      <w:marBottom w:val="0"/>
      <w:divBdr>
        <w:top w:val="none" w:sz="0" w:space="0" w:color="auto"/>
        <w:left w:val="none" w:sz="0" w:space="0" w:color="auto"/>
        <w:bottom w:val="none" w:sz="0" w:space="0" w:color="auto"/>
        <w:right w:val="none" w:sz="0" w:space="0" w:color="auto"/>
      </w:divBdr>
    </w:div>
    <w:div w:id="312105064">
      <w:bodyDiv w:val="1"/>
      <w:marLeft w:val="0"/>
      <w:marRight w:val="0"/>
      <w:marTop w:val="0"/>
      <w:marBottom w:val="0"/>
      <w:divBdr>
        <w:top w:val="none" w:sz="0" w:space="0" w:color="auto"/>
        <w:left w:val="none" w:sz="0" w:space="0" w:color="auto"/>
        <w:bottom w:val="none" w:sz="0" w:space="0" w:color="auto"/>
        <w:right w:val="none" w:sz="0" w:space="0" w:color="auto"/>
      </w:divBdr>
    </w:div>
    <w:div w:id="376246773">
      <w:bodyDiv w:val="1"/>
      <w:marLeft w:val="0"/>
      <w:marRight w:val="0"/>
      <w:marTop w:val="0"/>
      <w:marBottom w:val="0"/>
      <w:divBdr>
        <w:top w:val="none" w:sz="0" w:space="0" w:color="auto"/>
        <w:left w:val="none" w:sz="0" w:space="0" w:color="auto"/>
        <w:bottom w:val="none" w:sz="0" w:space="0" w:color="auto"/>
        <w:right w:val="none" w:sz="0" w:space="0" w:color="auto"/>
      </w:divBdr>
    </w:div>
    <w:div w:id="407456611">
      <w:bodyDiv w:val="1"/>
      <w:marLeft w:val="0"/>
      <w:marRight w:val="0"/>
      <w:marTop w:val="0"/>
      <w:marBottom w:val="0"/>
      <w:divBdr>
        <w:top w:val="none" w:sz="0" w:space="0" w:color="auto"/>
        <w:left w:val="none" w:sz="0" w:space="0" w:color="auto"/>
        <w:bottom w:val="none" w:sz="0" w:space="0" w:color="auto"/>
        <w:right w:val="none" w:sz="0" w:space="0" w:color="auto"/>
      </w:divBdr>
      <w:divsChild>
        <w:div w:id="2034530723">
          <w:marLeft w:val="0"/>
          <w:marRight w:val="0"/>
          <w:marTop w:val="0"/>
          <w:marBottom w:val="0"/>
          <w:divBdr>
            <w:top w:val="none" w:sz="0" w:space="0" w:color="auto"/>
            <w:left w:val="none" w:sz="0" w:space="0" w:color="auto"/>
            <w:bottom w:val="none" w:sz="0" w:space="0" w:color="auto"/>
            <w:right w:val="none" w:sz="0" w:space="0" w:color="auto"/>
          </w:divBdr>
        </w:div>
      </w:divsChild>
    </w:div>
    <w:div w:id="472480496">
      <w:bodyDiv w:val="1"/>
      <w:marLeft w:val="0"/>
      <w:marRight w:val="0"/>
      <w:marTop w:val="0"/>
      <w:marBottom w:val="0"/>
      <w:divBdr>
        <w:top w:val="none" w:sz="0" w:space="0" w:color="auto"/>
        <w:left w:val="none" w:sz="0" w:space="0" w:color="auto"/>
        <w:bottom w:val="none" w:sz="0" w:space="0" w:color="auto"/>
        <w:right w:val="none" w:sz="0" w:space="0" w:color="auto"/>
      </w:divBdr>
    </w:div>
    <w:div w:id="578561856">
      <w:bodyDiv w:val="1"/>
      <w:marLeft w:val="0"/>
      <w:marRight w:val="0"/>
      <w:marTop w:val="0"/>
      <w:marBottom w:val="0"/>
      <w:divBdr>
        <w:top w:val="none" w:sz="0" w:space="0" w:color="auto"/>
        <w:left w:val="none" w:sz="0" w:space="0" w:color="auto"/>
        <w:bottom w:val="none" w:sz="0" w:space="0" w:color="auto"/>
        <w:right w:val="none" w:sz="0" w:space="0" w:color="auto"/>
      </w:divBdr>
    </w:div>
    <w:div w:id="587034324">
      <w:bodyDiv w:val="1"/>
      <w:marLeft w:val="0"/>
      <w:marRight w:val="0"/>
      <w:marTop w:val="0"/>
      <w:marBottom w:val="0"/>
      <w:divBdr>
        <w:top w:val="none" w:sz="0" w:space="0" w:color="auto"/>
        <w:left w:val="none" w:sz="0" w:space="0" w:color="auto"/>
        <w:bottom w:val="none" w:sz="0" w:space="0" w:color="auto"/>
        <w:right w:val="none" w:sz="0" w:space="0" w:color="auto"/>
      </w:divBdr>
    </w:div>
    <w:div w:id="672612629">
      <w:bodyDiv w:val="1"/>
      <w:marLeft w:val="0"/>
      <w:marRight w:val="0"/>
      <w:marTop w:val="0"/>
      <w:marBottom w:val="0"/>
      <w:divBdr>
        <w:top w:val="none" w:sz="0" w:space="0" w:color="auto"/>
        <w:left w:val="none" w:sz="0" w:space="0" w:color="auto"/>
        <w:bottom w:val="none" w:sz="0" w:space="0" w:color="auto"/>
        <w:right w:val="none" w:sz="0" w:space="0" w:color="auto"/>
      </w:divBdr>
    </w:div>
    <w:div w:id="690423135">
      <w:bodyDiv w:val="1"/>
      <w:marLeft w:val="0"/>
      <w:marRight w:val="0"/>
      <w:marTop w:val="0"/>
      <w:marBottom w:val="0"/>
      <w:divBdr>
        <w:top w:val="none" w:sz="0" w:space="0" w:color="auto"/>
        <w:left w:val="none" w:sz="0" w:space="0" w:color="auto"/>
        <w:bottom w:val="none" w:sz="0" w:space="0" w:color="auto"/>
        <w:right w:val="none" w:sz="0" w:space="0" w:color="auto"/>
      </w:divBdr>
    </w:div>
    <w:div w:id="700056447">
      <w:bodyDiv w:val="1"/>
      <w:marLeft w:val="0"/>
      <w:marRight w:val="0"/>
      <w:marTop w:val="0"/>
      <w:marBottom w:val="0"/>
      <w:divBdr>
        <w:top w:val="none" w:sz="0" w:space="0" w:color="auto"/>
        <w:left w:val="none" w:sz="0" w:space="0" w:color="auto"/>
        <w:bottom w:val="none" w:sz="0" w:space="0" w:color="auto"/>
        <w:right w:val="none" w:sz="0" w:space="0" w:color="auto"/>
      </w:divBdr>
    </w:div>
    <w:div w:id="728915238">
      <w:bodyDiv w:val="1"/>
      <w:marLeft w:val="0"/>
      <w:marRight w:val="0"/>
      <w:marTop w:val="0"/>
      <w:marBottom w:val="0"/>
      <w:divBdr>
        <w:top w:val="none" w:sz="0" w:space="0" w:color="auto"/>
        <w:left w:val="none" w:sz="0" w:space="0" w:color="auto"/>
        <w:bottom w:val="none" w:sz="0" w:space="0" w:color="auto"/>
        <w:right w:val="none" w:sz="0" w:space="0" w:color="auto"/>
      </w:divBdr>
    </w:div>
    <w:div w:id="742606766">
      <w:bodyDiv w:val="1"/>
      <w:marLeft w:val="0"/>
      <w:marRight w:val="0"/>
      <w:marTop w:val="0"/>
      <w:marBottom w:val="0"/>
      <w:divBdr>
        <w:top w:val="none" w:sz="0" w:space="0" w:color="auto"/>
        <w:left w:val="none" w:sz="0" w:space="0" w:color="auto"/>
        <w:bottom w:val="none" w:sz="0" w:space="0" w:color="auto"/>
        <w:right w:val="none" w:sz="0" w:space="0" w:color="auto"/>
      </w:divBdr>
    </w:div>
    <w:div w:id="759254238">
      <w:bodyDiv w:val="1"/>
      <w:marLeft w:val="0"/>
      <w:marRight w:val="0"/>
      <w:marTop w:val="0"/>
      <w:marBottom w:val="0"/>
      <w:divBdr>
        <w:top w:val="none" w:sz="0" w:space="0" w:color="auto"/>
        <w:left w:val="none" w:sz="0" w:space="0" w:color="auto"/>
        <w:bottom w:val="none" w:sz="0" w:space="0" w:color="auto"/>
        <w:right w:val="none" w:sz="0" w:space="0" w:color="auto"/>
      </w:divBdr>
    </w:div>
    <w:div w:id="788281619">
      <w:bodyDiv w:val="1"/>
      <w:marLeft w:val="0"/>
      <w:marRight w:val="0"/>
      <w:marTop w:val="0"/>
      <w:marBottom w:val="0"/>
      <w:divBdr>
        <w:top w:val="none" w:sz="0" w:space="0" w:color="auto"/>
        <w:left w:val="none" w:sz="0" w:space="0" w:color="auto"/>
        <w:bottom w:val="none" w:sz="0" w:space="0" w:color="auto"/>
        <w:right w:val="none" w:sz="0" w:space="0" w:color="auto"/>
      </w:divBdr>
    </w:div>
    <w:div w:id="789084197">
      <w:bodyDiv w:val="1"/>
      <w:marLeft w:val="0"/>
      <w:marRight w:val="0"/>
      <w:marTop w:val="0"/>
      <w:marBottom w:val="0"/>
      <w:divBdr>
        <w:top w:val="none" w:sz="0" w:space="0" w:color="auto"/>
        <w:left w:val="none" w:sz="0" w:space="0" w:color="auto"/>
        <w:bottom w:val="none" w:sz="0" w:space="0" w:color="auto"/>
        <w:right w:val="none" w:sz="0" w:space="0" w:color="auto"/>
      </w:divBdr>
    </w:div>
    <w:div w:id="841774187">
      <w:bodyDiv w:val="1"/>
      <w:marLeft w:val="0"/>
      <w:marRight w:val="0"/>
      <w:marTop w:val="0"/>
      <w:marBottom w:val="0"/>
      <w:divBdr>
        <w:top w:val="none" w:sz="0" w:space="0" w:color="auto"/>
        <w:left w:val="none" w:sz="0" w:space="0" w:color="auto"/>
        <w:bottom w:val="none" w:sz="0" w:space="0" w:color="auto"/>
        <w:right w:val="none" w:sz="0" w:space="0" w:color="auto"/>
      </w:divBdr>
      <w:divsChild>
        <w:div w:id="765198551">
          <w:marLeft w:val="0"/>
          <w:marRight w:val="0"/>
          <w:marTop w:val="0"/>
          <w:marBottom w:val="0"/>
          <w:divBdr>
            <w:top w:val="none" w:sz="0" w:space="0" w:color="auto"/>
            <w:left w:val="none" w:sz="0" w:space="0" w:color="auto"/>
            <w:bottom w:val="none" w:sz="0" w:space="0" w:color="auto"/>
            <w:right w:val="none" w:sz="0" w:space="0" w:color="auto"/>
          </w:divBdr>
        </w:div>
      </w:divsChild>
    </w:div>
    <w:div w:id="869221938">
      <w:bodyDiv w:val="1"/>
      <w:marLeft w:val="0"/>
      <w:marRight w:val="0"/>
      <w:marTop w:val="0"/>
      <w:marBottom w:val="0"/>
      <w:divBdr>
        <w:top w:val="none" w:sz="0" w:space="0" w:color="auto"/>
        <w:left w:val="none" w:sz="0" w:space="0" w:color="auto"/>
        <w:bottom w:val="none" w:sz="0" w:space="0" w:color="auto"/>
        <w:right w:val="none" w:sz="0" w:space="0" w:color="auto"/>
      </w:divBdr>
    </w:div>
    <w:div w:id="893126713">
      <w:bodyDiv w:val="1"/>
      <w:marLeft w:val="0"/>
      <w:marRight w:val="0"/>
      <w:marTop w:val="0"/>
      <w:marBottom w:val="0"/>
      <w:divBdr>
        <w:top w:val="none" w:sz="0" w:space="0" w:color="auto"/>
        <w:left w:val="none" w:sz="0" w:space="0" w:color="auto"/>
        <w:bottom w:val="none" w:sz="0" w:space="0" w:color="auto"/>
        <w:right w:val="none" w:sz="0" w:space="0" w:color="auto"/>
      </w:divBdr>
    </w:div>
    <w:div w:id="921720773">
      <w:bodyDiv w:val="1"/>
      <w:marLeft w:val="0"/>
      <w:marRight w:val="0"/>
      <w:marTop w:val="0"/>
      <w:marBottom w:val="0"/>
      <w:divBdr>
        <w:top w:val="none" w:sz="0" w:space="0" w:color="auto"/>
        <w:left w:val="none" w:sz="0" w:space="0" w:color="auto"/>
        <w:bottom w:val="none" w:sz="0" w:space="0" w:color="auto"/>
        <w:right w:val="none" w:sz="0" w:space="0" w:color="auto"/>
      </w:divBdr>
      <w:divsChild>
        <w:div w:id="1092356848">
          <w:marLeft w:val="0"/>
          <w:marRight w:val="0"/>
          <w:marTop w:val="0"/>
          <w:marBottom w:val="0"/>
          <w:divBdr>
            <w:top w:val="none" w:sz="0" w:space="0" w:color="auto"/>
            <w:left w:val="none" w:sz="0" w:space="0" w:color="auto"/>
            <w:bottom w:val="none" w:sz="0" w:space="0" w:color="auto"/>
            <w:right w:val="none" w:sz="0" w:space="0" w:color="auto"/>
          </w:divBdr>
        </w:div>
      </w:divsChild>
    </w:div>
    <w:div w:id="969703085">
      <w:bodyDiv w:val="1"/>
      <w:marLeft w:val="0"/>
      <w:marRight w:val="0"/>
      <w:marTop w:val="0"/>
      <w:marBottom w:val="0"/>
      <w:divBdr>
        <w:top w:val="none" w:sz="0" w:space="0" w:color="auto"/>
        <w:left w:val="none" w:sz="0" w:space="0" w:color="auto"/>
        <w:bottom w:val="none" w:sz="0" w:space="0" w:color="auto"/>
        <w:right w:val="none" w:sz="0" w:space="0" w:color="auto"/>
      </w:divBdr>
      <w:divsChild>
        <w:div w:id="1807358883">
          <w:marLeft w:val="0"/>
          <w:marRight w:val="0"/>
          <w:marTop w:val="0"/>
          <w:marBottom w:val="0"/>
          <w:divBdr>
            <w:top w:val="none" w:sz="0" w:space="0" w:color="auto"/>
            <w:left w:val="none" w:sz="0" w:space="0" w:color="auto"/>
            <w:bottom w:val="none" w:sz="0" w:space="0" w:color="auto"/>
            <w:right w:val="none" w:sz="0" w:space="0" w:color="auto"/>
          </w:divBdr>
        </w:div>
      </w:divsChild>
    </w:div>
    <w:div w:id="974484819">
      <w:bodyDiv w:val="1"/>
      <w:marLeft w:val="0"/>
      <w:marRight w:val="0"/>
      <w:marTop w:val="0"/>
      <w:marBottom w:val="0"/>
      <w:divBdr>
        <w:top w:val="none" w:sz="0" w:space="0" w:color="auto"/>
        <w:left w:val="none" w:sz="0" w:space="0" w:color="auto"/>
        <w:bottom w:val="none" w:sz="0" w:space="0" w:color="auto"/>
        <w:right w:val="none" w:sz="0" w:space="0" w:color="auto"/>
      </w:divBdr>
    </w:div>
    <w:div w:id="1108890099">
      <w:bodyDiv w:val="1"/>
      <w:marLeft w:val="0"/>
      <w:marRight w:val="0"/>
      <w:marTop w:val="0"/>
      <w:marBottom w:val="0"/>
      <w:divBdr>
        <w:top w:val="none" w:sz="0" w:space="0" w:color="auto"/>
        <w:left w:val="none" w:sz="0" w:space="0" w:color="auto"/>
        <w:bottom w:val="none" w:sz="0" w:space="0" w:color="auto"/>
        <w:right w:val="none" w:sz="0" w:space="0" w:color="auto"/>
      </w:divBdr>
      <w:divsChild>
        <w:div w:id="1302808519">
          <w:marLeft w:val="0"/>
          <w:marRight w:val="0"/>
          <w:marTop w:val="0"/>
          <w:marBottom w:val="0"/>
          <w:divBdr>
            <w:top w:val="none" w:sz="0" w:space="0" w:color="auto"/>
            <w:left w:val="none" w:sz="0" w:space="0" w:color="auto"/>
            <w:bottom w:val="none" w:sz="0" w:space="0" w:color="auto"/>
            <w:right w:val="none" w:sz="0" w:space="0" w:color="auto"/>
          </w:divBdr>
          <w:divsChild>
            <w:div w:id="745997082">
              <w:marLeft w:val="0"/>
              <w:marRight w:val="0"/>
              <w:marTop w:val="0"/>
              <w:marBottom w:val="0"/>
              <w:divBdr>
                <w:top w:val="none" w:sz="0" w:space="0" w:color="auto"/>
                <w:left w:val="none" w:sz="0" w:space="0" w:color="auto"/>
                <w:bottom w:val="none" w:sz="0" w:space="0" w:color="auto"/>
                <w:right w:val="none" w:sz="0" w:space="0" w:color="auto"/>
              </w:divBdr>
              <w:divsChild>
                <w:div w:id="68041888">
                  <w:marLeft w:val="0"/>
                  <w:marRight w:val="0"/>
                  <w:marTop w:val="0"/>
                  <w:marBottom w:val="0"/>
                  <w:divBdr>
                    <w:top w:val="none" w:sz="0" w:space="0" w:color="auto"/>
                    <w:left w:val="none" w:sz="0" w:space="0" w:color="auto"/>
                    <w:bottom w:val="none" w:sz="0" w:space="0" w:color="auto"/>
                    <w:right w:val="none" w:sz="0" w:space="0" w:color="auto"/>
                  </w:divBdr>
                </w:div>
                <w:div w:id="723792926">
                  <w:marLeft w:val="0"/>
                  <w:marRight w:val="0"/>
                  <w:marTop w:val="0"/>
                  <w:marBottom w:val="0"/>
                  <w:divBdr>
                    <w:top w:val="none" w:sz="0" w:space="0" w:color="auto"/>
                    <w:left w:val="none" w:sz="0" w:space="0" w:color="auto"/>
                    <w:bottom w:val="none" w:sz="0" w:space="0" w:color="auto"/>
                    <w:right w:val="none" w:sz="0" w:space="0" w:color="auto"/>
                  </w:divBdr>
                </w:div>
                <w:div w:id="765685645">
                  <w:marLeft w:val="0"/>
                  <w:marRight w:val="0"/>
                  <w:marTop w:val="0"/>
                  <w:marBottom w:val="0"/>
                  <w:divBdr>
                    <w:top w:val="none" w:sz="0" w:space="0" w:color="auto"/>
                    <w:left w:val="none" w:sz="0" w:space="0" w:color="auto"/>
                    <w:bottom w:val="none" w:sz="0" w:space="0" w:color="auto"/>
                    <w:right w:val="none" w:sz="0" w:space="0" w:color="auto"/>
                  </w:divBdr>
                </w:div>
                <w:div w:id="862742283">
                  <w:marLeft w:val="0"/>
                  <w:marRight w:val="0"/>
                  <w:marTop w:val="0"/>
                  <w:marBottom w:val="0"/>
                  <w:divBdr>
                    <w:top w:val="none" w:sz="0" w:space="0" w:color="auto"/>
                    <w:left w:val="none" w:sz="0" w:space="0" w:color="auto"/>
                    <w:bottom w:val="none" w:sz="0" w:space="0" w:color="auto"/>
                    <w:right w:val="none" w:sz="0" w:space="0" w:color="auto"/>
                  </w:divBdr>
                </w:div>
                <w:div w:id="972909339">
                  <w:marLeft w:val="0"/>
                  <w:marRight w:val="0"/>
                  <w:marTop w:val="0"/>
                  <w:marBottom w:val="0"/>
                  <w:divBdr>
                    <w:top w:val="none" w:sz="0" w:space="0" w:color="auto"/>
                    <w:left w:val="none" w:sz="0" w:space="0" w:color="auto"/>
                    <w:bottom w:val="none" w:sz="0" w:space="0" w:color="auto"/>
                    <w:right w:val="none" w:sz="0" w:space="0" w:color="auto"/>
                  </w:divBdr>
                </w:div>
                <w:div w:id="1365594204">
                  <w:marLeft w:val="0"/>
                  <w:marRight w:val="0"/>
                  <w:marTop w:val="0"/>
                  <w:marBottom w:val="0"/>
                  <w:divBdr>
                    <w:top w:val="none" w:sz="0" w:space="0" w:color="auto"/>
                    <w:left w:val="none" w:sz="0" w:space="0" w:color="auto"/>
                    <w:bottom w:val="none" w:sz="0" w:space="0" w:color="auto"/>
                    <w:right w:val="none" w:sz="0" w:space="0" w:color="auto"/>
                  </w:divBdr>
                </w:div>
                <w:div w:id="1505247701">
                  <w:marLeft w:val="0"/>
                  <w:marRight w:val="0"/>
                  <w:marTop w:val="0"/>
                  <w:marBottom w:val="0"/>
                  <w:divBdr>
                    <w:top w:val="none" w:sz="0" w:space="0" w:color="auto"/>
                    <w:left w:val="none" w:sz="0" w:space="0" w:color="auto"/>
                    <w:bottom w:val="none" w:sz="0" w:space="0" w:color="auto"/>
                    <w:right w:val="none" w:sz="0" w:space="0" w:color="auto"/>
                  </w:divBdr>
                </w:div>
                <w:div w:id="1676110509">
                  <w:marLeft w:val="0"/>
                  <w:marRight w:val="0"/>
                  <w:marTop w:val="0"/>
                  <w:marBottom w:val="0"/>
                  <w:divBdr>
                    <w:top w:val="none" w:sz="0" w:space="0" w:color="auto"/>
                    <w:left w:val="none" w:sz="0" w:space="0" w:color="auto"/>
                    <w:bottom w:val="none" w:sz="0" w:space="0" w:color="auto"/>
                    <w:right w:val="none" w:sz="0" w:space="0" w:color="auto"/>
                  </w:divBdr>
                </w:div>
                <w:div w:id="2047245990">
                  <w:marLeft w:val="0"/>
                  <w:marRight w:val="0"/>
                  <w:marTop w:val="0"/>
                  <w:marBottom w:val="0"/>
                  <w:divBdr>
                    <w:top w:val="none" w:sz="0" w:space="0" w:color="auto"/>
                    <w:left w:val="none" w:sz="0" w:space="0" w:color="auto"/>
                    <w:bottom w:val="none" w:sz="0" w:space="0" w:color="auto"/>
                    <w:right w:val="none" w:sz="0" w:space="0" w:color="auto"/>
                  </w:divBdr>
                </w:div>
              </w:divsChild>
            </w:div>
            <w:div w:id="1282959229">
              <w:marLeft w:val="0"/>
              <w:marRight w:val="0"/>
              <w:marTop w:val="0"/>
              <w:marBottom w:val="0"/>
              <w:divBdr>
                <w:top w:val="none" w:sz="0" w:space="0" w:color="auto"/>
                <w:left w:val="none" w:sz="0" w:space="0" w:color="auto"/>
                <w:bottom w:val="none" w:sz="0" w:space="0" w:color="auto"/>
                <w:right w:val="none" w:sz="0" w:space="0" w:color="auto"/>
              </w:divBdr>
              <w:divsChild>
                <w:div w:id="904605428">
                  <w:marLeft w:val="0"/>
                  <w:marRight w:val="0"/>
                  <w:marTop w:val="0"/>
                  <w:marBottom w:val="0"/>
                  <w:divBdr>
                    <w:top w:val="none" w:sz="0" w:space="0" w:color="auto"/>
                    <w:left w:val="none" w:sz="0" w:space="0" w:color="auto"/>
                    <w:bottom w:val="none" w:sz="0" w:space="0" w:color="auto"/>
                    <w:right w:val="none" w:sz="0" w:space="0" w:color="auto"/>
                  </w:divBdr>
                </w:div>
                <w:div w:id="1326476873">
                  <w:marLeft w:val="0"/>
                  <w:marRight w:val="0"/>
                  <w:marTop w:val="0"/>
                  <w:marBottom w:val="0"/>
                  <w:divBdr>
                    <w:top w:val="none" w:sz="0" w:space="0" w:color="auto"/>
                    <w:left w:val="none" w:sz="0" w:space="0" w:color="auto"/>
                    <w:bottom w:val="none" w:sz="0" w:space="0" w:color="auto"/>
                    <w:right w:val="none" w:sz="0" w:space="0" w:color="auto"/>
                  </w:divBdr>
                </w:div>
                <w:div w:id="1537355994">
                  <w:marLeft w:val="0"/>
                  <w:marRight w:val="0"/>
                  <w:marTop w:val="0"/>
                  <w:marBottom w:val="0"/>
                  <w:divBdr>
                    <w:top w:val="none" w:sz="0" w:space="0" w:color="auto"/>
                    <w:left w:val="none" w:sz="0" w:space="0" w:color="auto"/>
                    <w:bottom w:val="none" w:sz="0" w:space="0" w:color="auto"/>
                    <w:right w:val="none" w:sz="0" w:space="0" w:color="auto"/>
                  </w:divBdr>
                </w:div>
                <w:div w:id="1708674629">
                  <w:marLeft w:val="0"/>
                  <w:marRight w:val="0"/>
                  <w:marTop w:val="0"/>
                  <w:marBottom w:val="0"/>
                  <w:divBdr>
                    <w:top w:val="none" w:sz="0" w:space="0" w:color="auto"/>
                    <w:left w:val="none" w:sz="0" w:space="0" w:color="auto"/>
                    <w:bottom w:val="none" w:sz="0" w:space="0" w:color="auto"/>
                    <w:right w:val="none" w:sz="0" w:space="0" w:color="auto"/>
                  </w:divBdr>
                </w:div>
                <w:div w:id="1800488749">
                  <w:marLeft w:val="0"/>
                  <w:marRight w:val="0"/>
                  <w:marTop w:val="0"/>
                  <w:marBottom w:val="0"/>
                  <w:divBdr>
                    <w:top w:val="none" w:sz="0" w:space="0" w:color="auto"/>
                    <w:left w:val="none" w:sz="0" w:space="0" w:color="auto"/>
                    <w:bottom w:val="none" w:sz="0" w:space="0" w:color="auto"/>
                    <w:right w:val="none" w:sz="0" w:space="0" w:color="auto"/>
                  </w:divBdr>
                </w:div>
                <w:div w:id="1807698274">
                  <w:marLeft w:val="0"/>
                  <w:marRight w:val="0"/>
                  <w:marTop w:val="0"/>
                  <w:marBottom w:val="0"/>
                  <w:divBdr>
                    <w:top w:val="none" w:sz="0" w:space="0" w:color="auto"/>
                    <w:left w:val="none" w:sz="0" w:space="0" w:color="auto"/>
                    <w:bottom w:val="none" w:sz="0" w:space="0" w:color="auto"/>
                    <w:right w:val="none" w:sz="0" w:space="0" w:color="auto"/>
                  </w:divBdr>
                </w:div>
                <w:div w:id="1973709505">
                  <w:marLeft w:val="0"/>
                  <w:marRight w:val="0"/>
                  <w:marTop w:val="0"/>
                  <w:marBottom w:val="0"/>
                  <w:divBdr>
                    <w:top w:val="none" w:sz="0" w:space="0" w:color="auto"/>
                    <w:left w:val="none" w:sz="0" w:space="0" w:color="auto"/>
                    <w:bottom w:val="none" w:sz="0" w:space="0" w:color="auto"/>
                    <w:right w:val="none" w:sz="0" w:space="0" w:color="auto"/>
                  </w:divBdr>
                </w:div>
                <w:div w:id="2015842244">
                  <w:marLeft w:val="0"/>
                  <w:marRight w:val="0"/>
                  <w:marTop w:val="0"/>
                  <w:marBottom w:val="0"/>
                  <w:divBdr>
                    <w:top w:val="none" w:sz="0" w:space="0" w:color="auto"/>
                    <w:left w:val="none" w:sz="0" w:space="0" w:color="auto"/>
                    <w:bottom w:val="none" w:sz="0" w:space="0" w:color="auto"/>
                    <w:right w:val="none" w:sz="0" w:space="0" w:color="auto"/>
                  </w:divBdr>
                </w:div>
                <w:div w:id="210692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471906">
      <w:bodyDiv w:val="1"/>
      <w:marLeft w:val="0"/>
      <w:marRight w:val="0"/>
      <w:marTop w:val="0"/>
      <w:marBottom w:val="0"/>
      <w:divBdr>
        <w:top w:val="none" w:sz="0" w:space="0" w:color="auto"/>
        <w:left w:val="none" w:sz="0" w:space="0" w:color="auto"/>
        <w:bottom w:val="none" w:sz="0" w:space="0" w:color="auto"/>
        <w:right w:val="none" w:sz="0" w:space="0" w:color="auto"/>
      </w:divBdr>
    </w:div>
    <w:div w:id="1424691022">
      <w:bodyDiv w:val="1"/>
      <w:marLeft w:val="0"/>
      <w:marRight w:val="0"/>
      <w:marTop w:val="0"/>
      <w:marBottom w:val="0"/>
      <w:divBdr>
        <w:top w:val="none" w:sz="0" w:space="0" w:color="auto"/>
        <w:left w:val="none" w:sz="0" w:space="0" w:color="auto"/>
        <w:bottom w:val="none" w:sz="0" w:space="0" w:color="auto"/>
        <w:right w:val="none" w:sz="0" w:space="0" w:color="auto"/>
      </w:divBdr>
      <w:divsChild>
        <w:div w:id="916325277">
          <w:marLeft w:val="0"/>
          <w:marRight w:val="0"/>
          <w:marTop w:val="0"/>
          <w:marBottom w:val="0"/>
          <w:divBdr>
            <w:top w:val="none" w:sz="0" w:space="0" w:color="auto"/>
            <w:left w:val="none" w:sz="0" w:space="0" w:color="auto"/>
            <w:bottom w:val="none" w:sz="0" w:space="0" w:color="auto"/>
            <w:right w:val="none" w:sz="0" w:space="0" w:color="auto"/>
          </w:divBdr>
        </w:div>
      </w:divsChild>
    </w:div>
    <w:div w:id="1477524315">
      <w:bodyDiv w:val="1"/>
      <w:marLeft w:val="0"/>
      <w:marRight w:val="0"/>
      <w:marTop w:val="0"/>
      <w:marBottom w:val="0"/>
      <w:divBdr>
        <w:top w:val="none" w:sz="0" w:space="0" w:color="auto"/>
        <w:left w:val="none" w:sz="0" w:space="0" w:color="auto"/>
        <w:bottom w:val="none" w:sz="0" w:space="0" w:color="auto"/>
        <w:right w:val="none" w:sz="0" w:space="0" w:color="auto"/>
      </w:divBdr>
      <w:divsChild>
        <w:div w:id="899243664">
          <w:marLeft w:val="0"/>
          <w:marRight w:val="0"/>
          <w:marTop w:val="0"/>
          <w:marBottom w:val="0"/>
          <w:divBdr>
            <w:top w:val="none" w:sz="0" w:space="0" w:color="auto"/>
            <w:left w:val="none" w:sz="0" w:space="0" w:color="auto"/>
            <w:bottom w:val="none" w:sz="0" w:space="0" w:color="auto"/>
            <w:right w:val="none" w:sz="0" w:space="0" w:color="auto"/>
          </w:divBdr>
        </w:div>
      </w:divsChild>
    </w:div>
    <w:div w:id="1566329591">
      <w:bodyDiv w:val="1"/>
      <w:marLeft w:val="0"/>
      <w:marRight w:val="0"/>
      <w:marTop w:val="0"/>
      <w:marBottom w:val="0"/>
      <w:divBdr>
        <w:top w:val="none" w:sz="0" w:space="0" w:color="auto"/>
        <w:left w:val="none" w:sz="0" w:space="0" w:color="auto"/>
        <w:bottom w:val="none" w:sz="0" w:space="0" w:color="auto"/>
        <w:right w:val="none" w:sz="0" w:space="0" w:color="auto"/>
      </w:divBdr>
      <w:divsChild>
        <w:div w:id="1558082187">
          <w:marLeft w:val="0"/>
          <w:marRight w:val="0"/>
          <w:marTop w:val="0"/>
          <w:marBottom w:val="0"/>
          <w:divBdr>
            <w:top w:val="none" w:sz="0" w:space="0" w:color="auto"/>
            <w:left w:val="none" w:sz="0" w:space="0" w:color="auto"/>
            <w:bottom w:val="none" w:sz="0" w:space="0" w:color="auto"/>
            <w:right w:val="none" w:sz="0" w:space="0" w:color="auto"/>
          </w:divBdr>
        </w:div>
      </w:divsChild>
    </w:div>
    <w:div w:id="1698431106">
      <w:bodyDiv w:val="1"/>
      <w:marLeft w:val="0"/>
      <w:marRight w:val="0"/>
      <w:marTop w:val="0"/>
      <w:marBottom w:val="0"/>
      <w:divBdr>
        <w:top w:val="none" w:sz="0" w:space="0" w:color="auto"/>
        <w:left w:val="none" w:sz="0" w:space="0" w:color="auto"/>
        <w:bottom w:val="none" w:sz="0" w:space="0" w:color="auto"/>
        <w:right w:val="none" w:sz="0" w:space="0" w:color="auto"/>
      </w:divBdr>
    </w:div>
    <w:div w:id="1783380128">
      <w:bodyDiv w:val="1"/>
      <w:marLeft w:val="0"/>
      <w:marRight w:val="0"/>
      <w:marTop w:val="0"/>
      <w:marBottom w:val="0"/>
      <w:divBdr>
        <w:top w:val="none" w:sz="0" w:space="0" w:color="auto"/>
        <w:left w:val="none" w:sz="0" w:space="0" w:color="auto"/>
        <w:bottom w:val="none" w:sz="0" w:space="0" w:color="auto"/>
        <w:right w:val="none" w:sz="0" w:space="0" w:color="auto"/>
      </w:divBdr>
    </w:div>
    <w:div w:id="1811246124">
      <w:bodyDiv w:val="1"/>
      <w:marLeft w:val="0"/>
      <w:marRight w:val="0"/>
      <w:marTop w:val="0"/>
      <w:marBottom w:val="0"/>
      <w:divBdr>
        <w:top w:val="none" w:sz="0" w:space="0" w:color="auto"/>
        <w:left w:val="none" w:sz="0" w:space="0" w:color="auto"/>
        <w:bottom w:val="none" w:sz="0" w:space="0" w:color="auto"/>
        <w:right w:val="none" w:sz="0" w:space="0" w:color="auto"/>
      </w:divBdr>
    </w:div>
    <w:div w:id="1895311983">
      <w:bodyDiv w:val="1"/>
      <w:marLeft w:val="0"/>
      <w:marRight w:val="0"/>
      <w:marTop w:val="0"/>
      <w:marBottom w:val="0"/>
      <w:divBdr>
        <w:top w:val="none" w:sz="0" w:space="0" w:color="auto"/>
        <w:left w:val="none" w:sz="0" w:space="0" w:color="auto"/>
        <w:bottom w:val="none" w:sz="0" w:space="0" w:color="auto"/>
        <w:right w:val="none" w:sz="0" w:space="0" w:color="auto"/>
      </w:divBdr>
      <w:divsChild>
        <w:div w:id="918830721">
          <w:marLeft w:val="0"/>
          <w:marRight w:val="0"/>
          <w:marTop w:val="0"/>
          <w:marBottom w:val="0"/>
          <w:divBdr>
            <w:top w:val="none" w:sz="0" w:space="0" w:color="auto"/>
            <w:left w:val="none" w:sz="0" w:space="0" w:color="auto"/>
            <w:bottom w:val="none" w:sz="0" w:space="0" w:color="auto"/>
            <w:right w:val="none" w:sz="0" w:space="0" w:color="auto"/>
          </w:divBdr>
          <w:divsChild>
            <w:div w:id="164177070">
              <w:marLeft w:val="0"/>
              <w:marRight w:val="0"/>
              <w:marTop w:val="0"/>
              <w:marBottom w:val="0"/>
              <w:divBdr>
                <w:top w:val="none" w:sz="0" w:space="0" w:color="auto"/>
                <w:left w:val="none" w:sz="0" w:space="0" w:color="auto"/>
                <w:bottom w:val="none" w:sz="0" w:space="0" w:color="auto"/>
                <w:right w:val="none" w:sz="0" w:space="0" w:color="auto"/>
              </w:divBdr>
              <w:divsChild>
                <w:div w:id="333650487">
                  <w:marLeft w:val="0"/>
                  <w:marRight w:val="0"/>
                  <w:marTop w:val="0"/>
                  <w:marBottom w:val="0"/>
                  <w:divBdr>
                    <w:top w:val="none" w:sz="0" w:space="0" w:color="auto"/>
                    <w:left w:val="none" w:sz="0" w:space="0" w:color="auto"/>
                    <w:bottom w:val="none" w:sz="0" w:space="0" w:color="auto"/>
                    <w:right w:val="none" w:sz="0" w:space="0" w:color="auto"/>
                  </w:divBdr>
                </w:div>
                <w:div w:id="535119321">
                  <w:marLeft w:val="0"/>
                  <w:marRight w:val="0"/>
                  <w:marTop w:val="0"/>
                  <w:marBottom w:val="0"/>
                  <w:divBdr>
                    <w:top w:val="none" w:sz="0" w:space="0" w:color="auto"/>
                    <w:left w:val="none" w:sz="0" w:space="0" w:color="auto"/>
                    <w:bottom w:val="none" w:sz="0" w:space="0" w:color="auto"/>
                    <w:right w:val="none" w:sz="0" w:space="0" w:color="auto"/>
                  </w:divBdr>
                </w:div>
                <w:div w:id="895354753">
                  <w:marLeft w:val="0"/>
                  <w:marRight w:val="0"/>
                  <w:marTop w:val="0"/>
                  <w:marBottom w:val="0"/>
                  <w:divBdr>
                    <w:top w:val="none" w:sz="0" w:space="0" w:color="auto"/>
                    <w:left w:val="none" w:sz="0" w:space="0" w:color="auto"/>
                    <w:bottom w:val="none" w:sz="0" w:space="0" w:color="auto"/>
                    <w:right w:val="none" w:sz="0" w:space="0" w:color="auto"/>
                  </w:divBdr>
                </w:div>
                <w:div w:id="939333772">
                  <w:marLeft w:val="0"/>
                  <w:marRight w:val="0"/>
                  <w:marTop w:val="0"/>
                  <w:marBottom w:val="0"/>
                  <w:divBdr>
                    <w:top w:val="none" w:sz="0" w:space="0" w:color="auto"/>
                    <w:left w:val="none" w:sz="0" w:space="0" w:color="auto"/>
                    <w:bottom w:val="none" w:sz="0" w:space="0" w:color="auto"/>
                    <w:right w:val="none" w:sz="0" w:space="0" w:color="auto"/>
                  </w:divBdr>
                </w:div>
                <w:div w:id="1350182874">
                  <w:marLeft w:val="0"/>
                  <w:marRight w:val="0"/>
                  <w:marTop w:val="0"/>
                  <w:marBottom w:val="0"/>
                  <w:divBdr>
                    <w:top w:val="none" w:sz="0" w:space="0" w:color="auto"/>
                    <w:left w:val="none" w:sz="0" w:space="0" w:color="auto"/>
                    <w:bottom w:val="none" w:sz="0" w:space="0" w:color="auto"/>
                    <w:right w:val="none" w:sz="0" w:space="0" w:color="auto"/>
                  </w:divBdr>
                </w:div>
                <w:div w:id="1352608858">
                  <w:marLeft w:val="0"/>
                  <w:marRight w:val="0"/>
                  <w:marTop w:val="0"/>
                  <w:marBottom w:val="0"/>
                  <w:divBdr>
                    <w:top w:val="none" w:sz="0" w:space="0" w:color="auto"/>
                    <w:left w:val="none" w:sz="0" w:space="0" w:color="auto"/>
                    <w:bottom w:val="none" w:sz="0" w:space="0" w:color="auto"/>
                    <w:right w:val="none" w:sz="0" w:space="0" w:color="auto"/>
                  </w:divBdr>
                </w:div>
                <w:div w:id="1637836796">
                  <w:marLeft w:val="0"/>
                  <w:marRight w:val="0"/>
                  <w:marTop w:val="0"/>
                  <w:marBottom w:val="0"/>
                  <w:divBdr>
                    <w:top w:val="none" w:sz="0" w:space="0" w:color="auto"/>
                    <w:left w:val="none" w:sz="0" w:space="0" w:color="auto"/>
                    <w:bottom w:val="none" w:sz="0" w:space="0" w:color="auto"/>
                    <w:right w:val="none" w:sz="0" w:space="0" w:color="auto"/>
                  </w:divBdr>
                </w:div>
                <w:div w:id="1737168070">
                  <w:marLeft w:val="0"/>
                  <w:marRight w:val="0"/>
                  <w:marTop w:val="0"/>
                  <w:marBottom w:val="0"/>
                  <w:divBdr>
                    <w:top w:val="none" w:sz="0" w:space="0" w:color="auto"/>
                    <w:left w:val="none" w:sz="0" w:space="0" w:color="auto"/>
                    <w:bottom w:val="none" w:sz="0" w:space="0" w:color="auto"/>
                    <w:right w:val="none" w:sz="0" w:space="0" w:color="auto"/>
                  </w:divBdr>
                </w:div>
                <w:div w:id="1801920429">
                  <w:marLeft w:val="0"/>
                  <w:marRight w:val="0"/>
                  <w:marTop w:val="0"/>
                  <w:marBottom w:val="0"/>
                  <w:divBdr>
                    <w:top w:val="none" w:sz="0" w:space="0" w:color="auto"/>
                    <w:left w:val="none" w:sz="0" w:space="0" w:color="auto"/>
                    <w:bottom w:val="none" w:sz="0" w:space="0" w:color="auto"/>
                    <w:right w:val="none" w:sz="0" w:space="0" w:color="auto"/>
                  </w:divBdr>
                </w:div>
              </w:divsChild>
            </w:div>
            <w:div w:id="1862934572">
              <w:marLeft w:val="0"/>
              <w:marRight w:val="0"/>
              <w:marTop w:val="0"/>
              <w:marBottom w:val="0"/>
              <w:divBdr>
                <w:top w:val="none" w:sz="0" w:space="0" w:color="auto"/>
                <w:left w:val="none" w:sz="0" w:space="0" w:color="auto"/>
                <w:bottom w:val="none" w:sz="0" w:space="0" w:color="auto"/>
                <w:right w:val="none" w:sz="0" w:space="0" w:color="auto"/>
              </w:divBdr>
              <w:divsChild>
                <w:div w:id="283386158">
                  <w:marLeft w:val="0"/>
                  <w:marRight w:val="0"/>
                  <w:marTop w:val="0"/>
                  <w:marBottom w:val="0"/>
                  <w:divBdr>
                    <w:top w:val="none" w:sz="0" w:space="0" w:color="auto"/>
                    <w:left w:val="none" w:sz="0" w:space="0" w:color="auto"/>
                    <w:bottom w:val="none" w:sz="0" w:space="0" w:color="auto"/>
                    <w:right w:val="none" w:sz="0" w:space="0" w:color="auto"/>
                  </w:divBdr>
                </w:div>
                <w:div w:id="442767225">
                  <w:marLeft w:val="0"/>
                  <w:marRight w:val="0"/>
                  <w:marTop w:val="0"/>
                  <w:marBottom w:val="0"/>
                  <w:divBdr>
                    <w:top w:val="none" w:sz="0" w:space="0" w:color="auto"/>
                    <w:left w:val="none" w:sz="0" w:space="0" w:color="auto"/>
                    <w:bottom w:val="none" w:sz="0" w:space="0" w:color="auto"/>
                    <w:right w:val="none" w:sz="0" w:space="0" w:color="auto"/>
                  </w:divBdr>
                </w:div>
                <w:div w:id="975456301">
                  <w:marLeft w:val="0"/>
                  <w:marRight w:val="0"/>
                  <w:marTop w:val="0"/>
                  <w:marBottom w:val="0"/>
                  <w:divBdr>
                    <w:top w:val="none" w:sz="0" w:space="0" w:color="auto"/>
                    <w:left w:val="none" w:sz="0" w:space="0" w:color="auto"/>
                    <w:bottom w:val="none" w:sz="0" w:space="0" w:color="auto"/>
                    <w:right w:val="none" w:sz="0" w:space="0" w:color="auto"/>
                  </w:divBdr>
                </w:div>
                <w:div w:id="1272856520">
                  <w:marLeft w:val="0"/>
                  <w:marRight w:val="0"/>
                  <w:marTop w:val="0"/>
                  <w:marBottom w:val="0"/>
                  <w:divBdr>
                    <w:top w:val="none" w:sz="0" w:space="0" w:color="auto"/>
                    <w:left w:val="none" w:sz="0" w:space="0" w:color="auto"/>
                    <w:bottom w:val="none" w:sz="0" w:space="0" w:color="auto"/>
                    <w:right w:val="none" w:sz="0" w:space="0" w:color="auto"/>
                  </w:divBdr>
                </w:div>
                <w:div w:id="1374888085">
                  <w:marLeft w:val="0"/>
                  <w:marRight w:val="0"/>
                  <w:marTop w:val="0"/>
                  <w:marBottom w:val="0"/>
                  <w:divBdr>
                    <w:top w:val="none" w:sz="0" w:space="0" w:color="auto"/>
                    <w:left w:val="none" w:sz="0" w:space="0" w:color="auto"/>
                    <w:bottom w:val="none" w:sz="0" w:space="0" w:color="auto"/>
                    <w:right w:val="none" w:sz="0" w:space="0" w:color="auto"/>
                  </w:divBdr>
                </w:div>
                <w:div w:id="1605992360">
                  <w:marLeft w:val="0"/>
                  <w:marRight w:val="0"/>
                  <w:marTop w:val="0"/>
                  <w:marBottom w:val="0"/>
                  <w:divBdr>
                    <w:top w:val="none" w:sz="0" w:space="0" w:color="auto"/>
                    <w:left w:val="none" w:sz="0" w:space="0" w:color="auto"/>
                    <w:bottom w:val="none" w:sz="0" w:space="0" w:color="auto"/>
                    <w:right w:val="none" w:sz="0" w:space="0" w:color="auto"/>
                  </w:divBdr>
                </w:div>
                <w:div w:id="1920362415">
                  <w:marLeft w:val="0"/>
                  <w:marRight w:val="0"/>
                  <w:marTop w:val="0"/>
                  <w:marBottom w:val="0"/>
                  <w:divBdr>
                    <w:top w:val="none" w:sz="0" w:space="0" w:color="auto"/>
                    <w:left w:val="none" w:sz="0" w:space="0" w:color="auto"/>
                    <w:bottom w:val="none" w:sz="0" w:space="0" w:color="auto"/>
                    <w:right w:val="none" w:sz="0" w:space="0" w:color="auto"/>
                  </w:divBdr>
                </w:div>
                <w:div w:id="1934581322">
                  <w:marLeft w:val="0"/>
                  <w:marRight w:val="0"/>
                  <w:marTop w:val="0"/>
                  <w:marBottom w:val="0"/>
                  <w:divBdr>
                    <w:top w:val="none" w:sz="0" w:space="0" w:color="auto"/>
                    <w:left w:val="none" w:sz="0" w:space="0" w:color="auto"/>
                    <w:bottom w:val="none" w:sz="0" w:space="0" w:color="auto"/>
                    <w:right w:val="none" w:sz="0" w:space="0" w:color="auto"/>
                  </w:divBdr>
                </w:div>
                <w:div w:id="194302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330069">
      <w:bodyDiv w:val="1"/>
      <w:marLeft w:val="0"/>
      <w:marRight w:val="0"/>
      <w:marTop w:val="0"/>
      <w:marBottom w:val="0"/>
      <w:divBdr>
        <w:top w:val="none" w:sz="0" w:space="0" w:color="auto"/>
        <w:left w:val="none" w:sz="0" w:space="0" w:color="auto"/>
        <w:bottom w:val="none" w:sz="0" w:space="0" w:color="auto"/>
        <w:right w:val="none" w:sz="0" w:space="0" w:color="auto"/>
      </w:divBdr>
    </w:div>
    <w:div w:id="21155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RBI5PAMIO524-1616901215-56119</_dlc_DocId>
    <HideFromDelve xmlns="71c5aaf6-e6ce-465b-b873-5148d2a4c105">false</HideFromDelve>
    <Comments xmlns="3f2ce089-3858-4176-9a21-a30f9204848e">OK</Comments>
    <_dlc_DocIdUrl xmlns="71c5aaf6-e6ce-465b-b873-5148d2a4c105">
      <Url>https://nokia.sharepoint.com/sites/gxp/_layouts/15/DocIdRedir.aspx?ID=RBI5PAMIO524-1616901215-56119</Url>
      <Description>RBI5PAMIO524-1616901215-56119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1BEFC6F-2A82-4988-A400-2BD1ED178224}">
  <ds:schemaRefs>
    <ds:schemaRef ds:uri="http://schemas.microsoft.com/sharepoint/events"/>
  </ds:schemaRefs>
</ds:datastoreItem>
</file>

<file path=customXml/itemProps2.xml><?xml version="1.0" encoding="utf-8"?>
<ds:datastoreItem xmlns:ds="http://schemas.openxmlformats.org/officeDocument/2006/customXml" ds:itemID="{ADE40E5A-3B15-4F56-AB0A-774E3EA8B7AD}">
  <ds:schemaRefs>
    <ds:schemaRef ds:uri="http://schemas.openxmlformats.org/officeDocument/2006/bibliography"/>
  </ds:schemaRefs>
</ds:datastoreItem>
</file>

<file path=customXml/itemProps3.xml><?xml version="1.0" encoding="utf-8"?>
<ds:datastoreItem xmlns:ds="http://schemas.openxmlformats.org/officeDocument/2006/customXml" ds:itemID="{47937B64-B023-4129-A9E1-3D6D3DE312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41C5A90-E47A-4AE5-AF3C-729F7ECE964E}">
  <ds:schemaRefs>
    <ds:schemaRef ds:uri="http://schemas.microsoft.com/sharepoint/v3/contenttype/forms"/>
  </ds:schemaRefs>
</ds:datastoreItem>
</file>

<file path=customXml/itemProps5.xml><?xml version="1.0" encoding="utf-8"?>
<ds:datastoreItem xmlns:ds="http://schemas.openxmlformats.org/officeDocument/2006/customXml" ds:itemID="{2FF1829B-F6E5-45D7-914D-89B311F1B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94EDDA-07C5-4031-B255-80251871BE92}">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998</Words>
  <Characters>5690</Characters>
  <Application>Microsoft Office Word</Application>
  <DocSecurity>0</DocSecurity>
  <Lines>47</Lines>
  <Paragraphs>13</Paragraphs>
  <ScaleCrop>false</ScaleCrop>
  <Company/>
  <LinksUpToDate>false</LinksUpToDate>
  <CharactersWithSpaces>6675</CharactersWithSpaces>
  <SharedDoc>false</SharedDoc>
  <HLinks>
    <vt:vector size="186" baseType="variant">
      <vt:variant>
        <vt:i4>1376314</vt:i4>
      </vt:variant>
      <vt:variant>
        <vt:i4>107</vt:i4>
      </vt:variant>
      <vt:variant>
        <vt:i4>0</vt:i4>
      </vt:variant>
      <vt:variant>
        <vt:i4>5</vt:i4>
      </vt:variant>
      <vt:variant>
        <vt:lpwstr/>
      </vt:variant>
      <vt:variant>
        <vt:lpwstr>_Toc209012002</vt:lpwstr>
      </vt:variant>
      <vt:variant>
        <vt:i4>1376314</vt:i4>
      </vt:variant>
      <vt:variant>
        <vt:i4>104</vt:i4>
      </vt:variant>
      <vt:variant>
        <vt:i4>0</vt:i4>
      </vt:variant>
      <vt:variant>
        <vt:i4>5</vt:i4>
      </vt:variant>
      <vt:variant>
        <vt:lpwstr/>
      </vt:variant>
      <vt:variant>
        <vt:lpwstr>_Toc209012001</vt:lpwstr>
      </vt:variant>
      <vt:variant>
        <vt:i4>1376314</vt:i4>
      </vt:variant>
      <vt:variant>
        <vt:i4>101</vt:i4>
      </vt:variant>
      <vt:variant>
        <vt:i4>0</vt:i4>
      </vt:variant>
      <vt:variant>
        <vt:i4>5</vt:i4>
      </vt:variant>
      <vt:variant>
        <vt:lpwstr/>
      </vt:variant>
      <vt:variant>
        <vt:lpwstr>_Toc209012000</vt:lpwstr>
      </vt:variant>
      <vt:variant>
        <vt:i4>2031667</vt:i4>
      </vt:variant>
      <vt:variant>
        <vt:i4>98</vt:i4>
      </vt:variant>
      <vt:variant>
        <vt:i4>0</vt:i4>
      </vt:variant>
      <vt:variant>
        <vt:i4>5</vt:i4>
      </vt:variant>
      <vt:variant>
        <vt:lpwstr/>
      </vt:variant>
      <vt:variant>
        <vt:lpwstr>_Toc209011999</vt:lpwstr>
      </vt:variant>
      <vt:variant>
        <vt:i4>2031667</vt:i4>
      </vt:variant>
      <vt:variant>
        <vt:i4>95</vt:i4>
      </vt:variant>
      <vt:variant>
        <vt:i4>0</vt:i4>
      </vt:variant>
      <vt:variant>
        <vt:i4>5</vt:i4>
      </vt:variant>
      <vt:variant>
        <vt:lpwstr/>
      </vt:variant>
      <vt:variant>
        <vt:lpwstr>_Toc209011998</vt:lpwstr>
      </vt:variant>
      <vt:variant>
        <vt:i4>2031667</vt:i4>
      </vt:variant>
      <vt:variant>
        <vt:i4>92</vt:i4>
      </vt:variant>
      <vt:variant>
        <vt:i4>0</vt:i4>
      </vt:variant>
      <vt:variant>
        <vt:i4>5</vt:i4>
      </vt:variant>
      <vt:variant>
        <vt:lpwstr/>
      </vt:variant>
      <vt:variant>
        <vt:lpwstr>_Toc209011997</vt:lpwstr>
      </vt:variant>
      <vt:variant>
        <vt:i4>2031667</vt:i4>
      </vt:variant>
      <vt:variant>
        <vt:i4>89</vt:i4>
      </vt:variant>
      <vt:variant>
        <vt:i4>0</vt:i4>
      </vt:variant>
      <vt:variant>
        <vt:i4>5</vt:i4>
      </vt:variant>
      <vt:variant>
        <vt:lpwstr/>
      </vt:variant>
      <vt:variant>
        <vt:lpwstr>_Toc209011996</vt:lpwstr>
      </vt:variant>
      <vt:variant>
        <vt:i4>2031667</vt:i4>
      </vt:variant>
      <vt:variant>
        <vt:i4>86</vt:i4>
      </vt:variant>
      <vt:variant>
        <vt:i4>0</vt:i4>
      </vt:variant>
      <vt:variant>
        <vt:i4>5</vt:i4>
      </vt:variant>
      <vt:variant>
        <vt:lpwstr/>
      </vt:variant>
      <vt:variant>
        <vt:lpwstr>_Toc209011995</vt:lpwstr>
      </vt:variant>
      <vt:variant>
        <vt:i4>2031667</vt:i4>
      </vt:variant>
      <vt:variant>
        <vt:i4>83</vt:i4>
      </vt:variant>
      <vt:variant>
        <vt:i4>0</vt:i4>
      </vt:variant>
      <vt:variant>
        <vt:i4>5</vt:i4>
      </vt:variant>
      <vt:variant>
        <vt:lpwstr/>
      </vt:variant>
      <vt:variant>
        <vt:lpwstr>_Toc209011994</vt:lpwstr>
      </vt:variant>
      <vt:variant>
        <vt:i4>2031667</vt:i4>
      </vt:variant>
      <vt:variant>
        <vt:i4>80</vt:i4>
      </vt:variant>
      <vt:variant>
        <vt:i4>0</vt:i4>
      </vt:variant>
      <vt:variant>
        <vt:i4>5</vt:i4>
      </vt:variant>
      <vt:variant>
        <vt:lpwstr/>
      </vt:variant>
      <vt:variant>
        <vt:lpwstr>_Toc209011993</vt:lpwstr>
      </vt:variant>
      <vt:variant>
        <vt:i4>2031667</vt:i4>
      </vt:variant>
      <vt:variant>
        <vt:i4>77</vt:i4>
      </vt:variant>
      <vt:variant>
        <vt:i4>0</vt:i4>
      </vt:variant>
      <vt:variant>
        <vt:i4>5</vt:i4>
      </vt:variant>
      <vt:variant>
        <vt:lpwstr/>
      </vt:variant>
      <vt:variant>
        <vt:lpwstr>_Toc209011992</vt:lpwstr>
      </vt:variant>
      <vt:variant>
        <vt:i4>2031667</vt:i4>
      </vt:variant>
      <vt:variant>
        <vt:i4>74</vt:i4>
      </vt:variant>
      <vt:variant>
        <vt:i4>0</vt:i4>
      </vt:variant>
      <vt:variant>
        <vt:i4>5</vt:i4>
      </vt:variant>
      <vt:variant>
        <vt:lpwstr/>
      </vt:variant>
      <vt:variant>
        <vt:lpwstr>_Toc209011991</vt:lpwstr>
      </vt:variant>
      <vt:variant>
        <vt:i4>2031667</vt:i4>
      </vt:variant>
      <vt:variant>
        <vt:i4>71</vt:i4>
      </vt:variant>
      <vt:variant>
        <vt:i4>0</vt:i4>
      </vt:variant>
      <vt:variant>
        <vt:i4>5</vt:i4>
      </vt:variant>
      <vt:variant>
        <vt:lpwstr/>
      </vt:variant>
      <vt:variant>
        <vt:lpwstr>_Toc209011990</vt:lpwstr>
      </vt:variant>
      <vt:variant>
        <vt:i4>1966131</vt:i4>
      </vt:variant>
      <vt:variant>
        <vt:i4>68</vt:i4>
      </vt:variant>
      <vt:variant>
        <vt:i4>0</vt:i4>
      </vt:variant>
      <vt:variant>
        <vt:i4>5</vt:i4>
      </vt:variant>
      <vt:variant>
        <vt:lpwstr/>
      </vt:variant>
      <vt:variant>
        <vt:lpwstr>_Toc209011989</vt:lpwstr>
      </vt:variant>
      <vt:variant>
        <vt:i4>1966131</vt:i4>
      </vt:variant>
      <vt:variant>
        <vt:i4>65</vt:i4>
      </vt:variant>
      <vt:variant>
        <vt:i4>0</vt:i4>
      </vt:variant>
      <vt:variant>
        <vt:i4>5</vt:i4>
      </vt:variant>
      <vt:variant>
        <vt:lpwstr/>
      </vt:variant>
      <vt:variant>
        <vt:lpwstr>_Toc209011988</vt:lpwstr>
      </vt:variant>
      <vt:variant>
        <vt:i4>1966131</vt:i4>
      </vt:variant>
      <vt:variant>
        <vt:i4>62</vt:i4>
      </vt:variant>
      <vt:variant>
        <vt:i4>0</vt:i4>
      </vt:variant>
      <vt:variant>
        <vt:i4>5</vt:i4>
      </vt:variant>
      <vt:variant>
        <vt:lpwstr/>
      </vt:variant>
      <vt:variant>
        <vt:lpwstr>_Toc209011987</vt:lpwstr>
      </vt:variant>
      <vt:variant>
        <vt:i4>1966131</vt:i4>
      </vt:variant>
      <vt:variant>
        <vt:i4>59</vt:i4>
      </vt:variant>
      <vt:variant>
        <vt:i4>0</vt:i4>
      </vt:variant>
      <vt:variant>
        <vt:i4>5</vt:i4>
      </vt:variant>
      <vt:variant>
        <vt:lpwstr/>
      </vt:variant>
      <vt:variant>
        <vt:lpwstr>_Toc209011986</vt:lpwstr>
      </vt:variant>
      <vt:variant>
        <vt:i4>1966131</vt:i4>
      </vt:variant>
      <vt:variant>
        <vt:i4>56</vt:i4>
      </vt:variant>
      <vt:variant>
        <vt:i4>0</vt:i4>
      </vt:variant>
      <vt:variant>
        <vt:i4>5</vt:i4>
      </vt:variant>
      <vt:variant>
        <vt:lpwstr/>
      </vt:variant>
      <vt:variant>
        <vt:lpwstr>_Toc209011985</vt:lpwstr>
      </vt:variant>
      <vt:variant>
        <vt:i4>1966131</vt:i4>
      </vt:variant>
      <vt:variant>
        <vt:i4>53</vt:i4>
      </vt:variant>
      <vt:variant>
        <vt:i4>0</vt:i4>
      </vt:variant>
      <vt:variant>
        <vt:i4>5</vt:i4>
      </vt:variant>
      <vt:variant>
        <vt:lpwstr/>
      </vt:variant>
      <vt:variant>
        <vt:lpwstr>_Toc209011984</vt:lpwstr>
      </vt:variant>
      <vt:variant>
        <vt:i4>1966131</vt:i4>
      </vt:variant>
      <vt:variant>
        <vt:i4>50</vt:i4>
      </vt:variant>
      <vt:variant>
        <vt:i4>0</vt:i4>
      </vt:variant>
      <vt:variant>
        <vt:i4>5</vt:i4>
      </vt:variant>
      <vt:variant>
        <vt:lpwstr/>
      </vt:variant>
      <vt:variant>
        <vt:lpwstr>_Toc209011983</vt:lpwstr>
      </vt:variant>
      <vt:variant>
        <vt:i4>1966131</vt:i4>
      </vt:variant>
      <vt:variant>
        <vt:i4>47</vt:i4>
      </vt:variant>
      <vt:variant>
        <vt:i4>0</vt:i4>
      </vt:variant>
      <vt:variant>
        <vt:i4>5</vt:i4>
      </vt:variant>
      <vt:variant>
        <vt:lpwstr/>
      </vt:variant>
      <vt:variant>
        <vt:lpwstr>_Toc209011982</vt:lpwstr>
      </vt:variant>
      <vt:variant>
        <vt:i4>1966131</vt:i4>
      </vt:variant>
      <vt:variant>
        <vt:i4>44</vt:i4>
      </vt:variant>
      <vt:variant>
        <vt:i4>0</vt:i4>
      </vt:variant>
      <vt:variant>
        <vt:i4>5</vt:i4>
      </vt:variant>
      <vt:variant>
        <vt:lpwstr/>
      </vt:variant>
      <vt:variant>
        <vt:lpwstr>_Toc209011981</vt:lpwstr>
      </vt:variant>
      <vt:variant>
        <vt:i4>1966131</vt:i4>
      </vt:variant>
      <vt:variant>
        <vt:i4>41</vt:i4>
      </vt:variant>
      <vt:variant>
        <vt:i4>0</vt:i4>
      </vt:variant>
      <vt:variant>
        <vt:i4>5</vt:i4>
      </vt:variant>
      <vt:variant>
        <vt:lpwstr/>
      </vt:variant>
      <vt:variant>
        <vt:lpwstr>_Toc209011980</vt:lpwstr>
      </vt:variant>
      <vt:variant>
        <vt:i4>1114163</vt:i4>
      </vt:variant>
      <vt:variant>
        <vt:i4>38</vt:i4>
      </vt:variant>
      <vt:variant>
        <vt:i4>0</vt:i4>
      </vt:variant>
      <vt:variant>
        <vt:i4>5</vt:i4>
      </vt:variant>
      <vt:variant>
        <vt:lpwstr/>
      </vt:variant>
      <vt:variant>
        <vt:lpwstr>_Toc209011979</vt:lpwstr>
      </vt:variant>
      <vt:variant>
        <vt:i4>1114163</vt:i4>
      </vt:variant>
      <vt:variant>
        <vt:i4>35</vt:i4>
      </vt:variant>
      <vt:variant>
        <vt:i4>0</vt:i4>
      </vt:variant>
      <vt:variant>
        <vt:i4>5</vt:i4>
      </vt:variant>
      <vt:variant>
        <vt:lpwstr/>
      </vt:variant>
      <vt:variant>
        <vt:lpwstr>_Toc209011978</vt:lpwstr>
      </vt:variant>
      <vt:variant>
        <vt:i4>1114163</vt:i4>
      </vt:variant>
      <vt:variant>
        <vt:i4>32</vt:i4>
      </vt:variant>
      <vt:variant>
        <vt:i4>0</vt:i4>
      </vt:variant>
      <vt:variant>
        <vt:i4>5</vt:i4>
      </vt:variant>
      <vt:variant>
        <vt:lpwstr/>
      </vt:variant>
      <vt:variant>
        <vt:lpwstr>_Toc209011977</vt:lpwstr>
      </vt:variant>
      <vt:variant>
        <vt:i4>1114163</vt:i4>
      </vt:variant>
      <vt:variant>
        <vt:i4>29</vt:i4>
      </vt:variant>
      <vt:variant>
        <vt:i4>0</vt:i4>
      </vt:variant>
      <vt:variant>
        <vt:i4>5</vt:i4>
      </vt:variant>
      <vt:variant>
        <vt:lpwstr/>
      </vt:variant>
      <vt:variant>
        <vt:lpwstr>_Toc209011976</vt:lpwstr>
      </vt:variant>
      <vt:variant>
        <vt:i4>1114163</vt:i4>
      </vt:variant>
      <vt:variant>
        <vt:i4>26</vt:i4>
      </vt:variant>
      <vt:variant>
        <vt:i4>0</vt:i4>
      </vt:variant>
      <vt:variant>
        <vt:i4>5</vt:i4>
      </vt:variant>
      <vt:variant>
        <vt:lpwstr/>
      </vt:variant>
      <vt:variant>
        <vt:lpwstr>_Toc209011975</vt:lpwstr>
      </vt:variant>
      <vt:variant>
        <vt:i4>1114163</vt:i4>
      </vt:variant>
      <vt:variant>
        <vt:i4>23</vt:i4>
      </vt:variant>
      <vt:variant>
        <vt:i4>0</vt:i4>
      </vt:variant>
      <vt:variant>
        <vt:i4>5</vt:i4>
      </vt:variant>
      <vt:variant>
        <vt:lpwstr/>
      </vt:variant>
      <vt:variant>
        <vt:lpwstr>_Toc209011974</vt:lpwstr>
      </vt:variant>
      <vt:variant>
        <vt:i4>1114163</vt:i4>
      </vt:variant>
      <vt:variant>
        <vt:i4>20</vt:i4>
      </vt:variant>
      <vt:variant>
        <vt:i4>0</vt:i4>
      </vt:variant>
      <vt:variant>
        <vt:i4>5</vt:i4>
      </vt:variant>
      <vt:variant>
        <vt:lpwstr/>
      </vt:variant>
      <vt:variant>
        <vt:lpwstr>_Toc209011973</vt:lpwstr>
      </vt:variant>
      <vt:variant>
        <vt:i4>1114163</vt:i4>
      </vt:variant>
      <vt:variant>
        <vt:i4>17</vt:i4>
      </vt:variant>
      <vt:variant>
        <vt:i4>0</vt:i4>
      </vt:variant>
      <vt:variant>
        <vt:i4>5</vt:i4>
      </vt:variant>
      <vt:variant>
        <vt:lpwstr/>
      </vt:variant>
      <vt:variant>
        <vt:lpwstr>_Toc209011972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2025-09-06T22:27:00Z</dcterms:created>
  <dcterms:modified xsi:type="dcterms:W3CDTF">2025-10-03T12:28:00Z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19f85586-7383-4230-a7a2-7b82b04e5562</vt:lpwstr>
  </property>
</Properties>
</file>